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Introduction</w:t>
      </w:r>
    </w:p>
    <w:p>
      <w:r>
        <w:t>Triple-negative breast cancer (TNBC), characterized by the absence of estrogen receptor, progesterone receptor, and HER2 expression, accounts for 15-20% of all breast cancers yet contributes disproportionately to cancer-related mortality [1, 2]. The lack of targetable receptors renders TNBC unresponsive to endocrine and HER2-targeted therapies, leaving cytotoxic chemotherapy as the primary treatment modality with five-year survival rates of 60-77% [3, 4]. Despite exhibiting the highest levels of tumor-infiltrating lymphocytes (TILs) and PD-L1 expression among breast cancer subtypes [5, 6], leading to FDA approval of pembrolizumab plus chemotherapy for PD-L1-positive metastatic TNBC [7, 8], objective response rates remain modest at 20-40% with frequent development of acquired resistance [9, 10]. This underscores the critical need to comprehensively dissect immune-tumor interactions within the TNBC microenvironment, particularly the T cell dynamics that orchestrate anti-tumor immunity.</w:t>
      </w:r>
    </w:p>
    <w:p>
      <w:r>
        <w:t>Single-cell RNA sequencing (scRNA-seq) has revolutionized tumor biology by enabling unprecedented resolution of cellular heterogeneity and mapping of intercellular communication networks [11, 12]. Recent scRNA-seq studies in TNBC have revealed immunologically distinct subtypes with differential therapeutic responses [13, 14], yet comprehensive characterization of T cell composition, functional states, and their regulatory mechanisms remains incomplete. T cell function is precisely controlled through post-translational modifications, with ubiquitination playing pivotal roles in TCR signaling, activation thresholds, and immune checkpoint regulation [15, 16]. The ubiquitin-proteasome system regulates diverse cellular processes through coordinated action of E3 ligases and deubiquitinases [17, 18]. For instance, the E3 ligase Cbl-b negatively regulates TCR signaling [19], while the deubiquitinase OTUB1 stabilizes PD-L1 to promote immune evasion [20, 21]. Despite ubiquitination's established role in cancer progression and immune regulation [22, 23], the contribution of T cell-related ubiquitination genes to TNBC pathogenesis and their prognostic implications remain unexplored.</w:t>
      </w:r>
    </w:p>
    <w:p>
      <w:r>
        <w:t>Current TNBC prognostic models rely primarily on clinicopathological parameters with limited accuracy [24, 25]. While PAM50 and Oncotype DX have improved risk stratification in hormone receptor-positive breast cancer, they show variable performance in TNBC [26, 27]. Recent TNBC-specific gene signatures targeting immune profiles, metabolism, or epithelial-mesenchymal transition (EMT) [28-31] often lack mechanistic grounding and fail to integrate the dynamics of immune-tumor crosstalk. Furthermore, bulk transcriptomics-derived signatures cannot capture the cellular heterogeneity and communication networks that fundamentally shape tumor biology [32, 33]. Despite evidence linking T cell infiltration to TNBC outcomes [5, 34], three critical gaps persist: (1) comprehensive single-cell characterization of T cell composition and transcriptional states is lacking; (2) ubiquitination-mediated T cell regulation in TNBC and prognostic correlations with specific ubiquitination genes remain unknown; (3) no prognostic models integrate T cell molecular features with ubiquitination pathway information for accurate risk stratification.</w:t>
      </w:r>
    </w:p>
    <w:p>
      <w:r>
        <w:t>To address these gaps, we integrated single-cell and bulk transcriptomic analyses of TNBC versus normal breast tissue. We performed scRNA-seq on 16 TNBC tumor samples and 3 normal tissues (84,837 cells total), characterized the cellular landscape, and mapped intercellular communication networks using CellChat [35]. We identified T cell-related ubiquitination genes (TCRUG) by intersecting T cell differentially expressed genes with 807 curated ubiquitination-related genes [36]. Through weighted gene co-expression network analysis (WGCNA) [37], differential expression analysis, survival correlation, and LASSO-Cox regression [38], we developed and validated a three-gene prognostic signature comprising GMCL1, KRT8, and OTUB1 across multiple independent cohorts (TCGA-TNBC training n=82, internal test n=34, external validation GSE25066 n=508). We further constructed an integrated clinical-molecular nomogram for practical application. Our comprehensive approach reveals the interplay between T cells and ubiquitination in TNBC, identifies MIF and CXCL10-CXCR3 signaling as potential therapeutic targets, and provides a mechanistically grounded prognostic tool for TNBC patient stratification.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