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24" w:beforeLines="200" w:after="312" w:afterLines="100"/>
        <w:jc w:val="center"/>
        <w:rPr>
          <w:rFonts w:ascii="微软雅黑" w:hAnsi="微软雅黑" w:eastAsia="微软雅黑" w:cs="微软雅黑"/>
          <w:sz w:val="40"/>
          <w:szCs w:val="40"/>
        </w:rPr>
      </w:pPr>
      <w:r>
        <w:rPr>
          <w:rFonts w:hint="eastAsia" w:ascii="微软雅黑" w:hAnsi="微软雅黑" w:eastAsia="微软雅黑" w:cs="微软雅黑"/>
          <w:sz w:val="40"/>
          <w:szCs w:val="40"/>
        </w:rPr>
        <w:t>会议纪要</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spacing w:after="0" w:line="400" w:lineRule="exact"/>
              <w:jc w:val="both"/>
              <w:rPr>
                <w:rFonts w:hint="default" w:ascii="微软雅黑" w:hAnsi="微软雅黑" w:eastAsia="微软雅黑" w:cs="微软雅黑"/>
                <w:sz w:val="32"/>
                <w:szCs w:val="32"/>
                <w:lang w:val="en-US" w:eastAsia="zh-CN"/>
              </w:rPr>
            </w:pPr>
            <w:r>
              <w:rPr>
                <w:rFonts w:hint="eastAsia" w:ascii="微软雅黑" w:hAnsi="微软雅黑" w:eastAsia="微软雅黑" w:cs="微软雅黑"/>
                <w:sz w:val="32"/>
                <w:szCs w:val="32"/>
              </w:rPr>
              <w:t>会议时间：</w:t>
            </w:r>
            <w:r>
              <w:rPr>
                <w:rFonts w:hint="eastAsia" w:ascii="微软雅黑" w:hAnsi="微软雅黑" w:eastAsia="微软雅黑" w:cs="微软雅黑"/>
                <w:sz w:val="32"/>
                <w:szCs w:val="32"/>
                <w:lang w:val="en-US" w:eastAsia="zh-CN"/>
              </w:rPr>
              <w:t>2021年10月16日19:00-20:00</w:t>
            </w:r>
          </w:p>
        </w:tc>
        <w:tc>
          <w:tcPr>
            <w:tcW w:w="4428" w:type="dxa"/>
          </w:tcPr>
          <w:p>
            <w:pPr>
              <w:pStyle w:val="2"/>
              <w:spacing w:after="0" w:line="400" w:lineRule="exact"/>
              <w:jc w:val="both"/>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rPr>
              <w:t>会议地点：</w:t>
            </w:r>
            <w:r>
              <w:rPr>
                <w:rFonts w:hint="eastAsia" w:ascii="微软雅黑" w:hAnsi="微软雅黑" w:eastAsia="微软雅黑" w:cs="微软雅黑"/>
                <w:sz w:val="32"/>
                <w:szCs w:val="32"/>
                <w:lang w:eastAsia="zh-CN"/>
              </w:rPr>
              <w:t>钉钉线上会议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spacing w:after="0" w:line="400" w:lineRule="exact"/>
              <w:jc w:val="both"/>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rPr>
              <w:t>参会人员：</w:t>
            </w:r>
            <w:r>
              <w:rPr>
                <w:rFonts w:hint="eastAsia" w:ascii="微软雅黑" w:hAnsi="微软雅黑" w:eastAsia="微软雅黑" w:cs="微软雅黑"/>
                <w:sz w:val="32"/>
                <w:szCs w:val="32"/>
                <w:lang w:eastAsia="zh-CN"/>
              </w:rPr>
              <w:t>汪芷汀、黄雨昊、陈逸浩</w:t>
            </w:r>
          </w:p>
        </w:tc>
        <w:tc>
          <w:tcPr>
            <w:tcW w:w="4428" w:type="dxa"/>
          </w:tcPr>
          <w:p>
            <w:pPr>
              <w:pStyle w:val="2"/>
              <w:spacing w:after="0" w:line="400" w:lineRule="exact"/>
              <w:jc w:val="both"/>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rPr>
              <w:t>记录人员：</w:t>
            </w:r>
            <w:r>
              <w:rPr>
                <w:rFonts w:hint="eastAsia" w:ascii="微软雅黑" w:hAnsi="微软雅黑" w:eastAsia="微软雅黑" w:cs="微软雅黑"/>
                <w:sz w:val="32"/>
                <w:szCs w:val="32"/>
                <w:lang w:eastAsia="zh-CN"/>
              </w:rPr>
              <w:t>陈逸浩</w:t>
            </w:r>
          </w:p>
        </w:tc>
      </w:tr>
    </w:tbl>
    <w:p>
      <w:pPr>
        <w:pStyle w:val="2"/>
        <w:spacing w:after="0" w:line="400" w:lineRule="exact"/>
        <w:jc w:val="both"/>
        <w:rPr>
          <w:rFonts w:ascii="微软雅黑" w:hAnsi="微软雅黑" w:eastAsia="微软雅黑" w:cs="微软雅黑"/>
        </w:rPr>
      </w:pP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BDD6EE" w:themeFill="accent1" w:themeFillTint="66"/>
          </w:tcPr>
          <w:p>
            <w:pPr>
              <w:pStyle w:val="2"/>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5" w:hRule="atLeast"/>
        </w:trPr>
        <w:tc>
          <w:tcPr>
            <w:tcW w:w="8856" w:type="dxa"/>
          </w:tcPr>
          <w:p>
            <w:pPr>
              <w:pStyle w:val="2"/>
              <w:numPr>
                <w:ilvl w:val="0"/>
                <w:numId w:val="1"/>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lang w:eastAsia="zh-CN"/>
              </w:rPr>
              <w:t>讨论了借书流程的具体实现。</w:t>
            </w:r>
          </w:p>
          <w:p>
            <w:pPr>
              <w:pStyle w:val="2"/>
              <w:numPr>
                <w:ilvl w:val="0"/>
                <w:numId w:val="1"/>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lang w:eastAsia="zh-CN"/>
              </w:rPr>
              <w:t>商讨了配置管理软件的使用。</w:t>
            </w:r>
          </w:p>
          <w:p>
            <w:pPr>
              <w:pStyle w:val="2"/>
              <w:numPr>
                <w:ilvl w:val="0"/>
                <w:numId w:val="1"/>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lang w:eastAsia="zh-CN"/>
              </w:rPr>
              <w:t>对经济可行性中产出进行分析。</w:t>
            </w:r>
          </w:p>
          <w:p>
            <w:pPr>
              <w:pStyle w:val="2"/>
              <w:numPr>
                <w:ilvl w:val="0"/>
                <w:numId w:val="1"/>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lang w:eastAsia="zh-CN"/>
              </w:rPr>
              <w:t>对成本的构成进行讨论。</w:t>
            </w:r>
          </w:p>
          <w:p>
            <w:pPr>
              <w:pStyle w:val="2"/>
              <w:numPr>
                <w:ilvl w:val="0"/>
                <w:numId w:val="1"/>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lang w:eastAsia="zh-CN"/>
              </w:rPr>
              <w:t>讨论了可行性报告的此版本的最终编制。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BDD6EE" w:themeFill="accent1" w:themeFillTint="66"/>
          </w:tcPr>
          <w:p>
            <w:pPr>
              <w:pStyle w:val="2"/>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rPr>
              <w:t>会议结论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0" w:hRule="atLeast"/>
        </w:trPr>
        <w:tc>
          <w:tcPr>
            <w:tcW w:w="8856" w:type="dxa"/>
          </w:tcPr>
          <w:p>
            <w:pPr>
              <w:pStyle w:val="2"/>
              <w:numPr>
                <w:ilvl w:val="0"/>
                <w:numId w:val="2"/>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lang w:eastAsia="zh-CN"/>
              </w:rPr>
              <w:t>通过图书馆借书和网上借阅经历重新绘制并完善了预计实现的流程图、用例图。</w:t>
            </w:r>
          </w:p>
          <w:p>
            <w:pPr>
              <w:pStyle w:val="2"/>
              <w:numPr>
                <w:ilvl w:val="0"/>
                <w:numId w:val="2"/>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lang w:eastAsia="zh-CN"/>
              </w:rPr>
              <w:t>完成了配置管理软件的安装，并有组长进行教学使用。</w:t>
            </w:r>
          </w:p>
          <w:p>
            <w:pPr>
              <w:pStyle w:val="2"/>
              <w:numPr>
                <w:ilvl w:val="0"/>
                <w:numId w:val="2"/>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lang w:eastAsia="zh-CN"/>
              </w:rPr>
              <w:t>由于出于帮助他人的目的，加之系统的实现对除人力资源投入的成本外，其他成本均不高，故认为项目可行，经济可行性中的产出可暂且不论。若未来浏览量增大，导致服务器压力增加等情况，可酌情考虑承接一些精准投放的广告。</w:t>
            </w:r>
          </w:p>
          <w:p>
            <w:pPr>
              <w:pStyle w:val="2"/>
              <w:numPr>
                <w:ilvl w:val="0"/>
                <w:numId w:val="2"/>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lang w:eastAsia="zh-CN"/>
              </w:rPr>
              <w:t>经讨论，得出人力成本：约360人时，在杭州约27,000人民币。软件成本：需要Navicat。约750人民币。服务器成本：阿里云，学生价约150人民币。其他折旧与电费：约200人民币。共计约281000人民币。（待定）</w:t>
            </w:r>
          </w:p>
          <w:p>
            <w:pPr>
              <w:pStyle w:val="2"/>
              <w:numPr>
                <w:ilvl w:val="0"/>
                <w:numId w:val="2"/>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lang w:eastAsia="zh-CN"/>
              </w:rPr>
              <w:t>将各组员所写的内容拼在一起，商讨后完成最终编制。由于模板由</w:t>
            </w:r>
            <w:r>
              <w:rPr>
                <w:rFonts w:hint="eastAsia" w:ascii="微软雅黑" w:hAnsi="微软雅黑" w:eastAsia="微软雅黑" w:cs="微软雅黑"/>
                <w:sz w:val="32"/>
                <w:szCs w:val="32"/>
                <w:lang w:val="en-US" w:eastAsia="zh-CN"/>
              </w:rPr>
              <w:t>ISO与GB部分结合，对其中部分冲突或相包含的条目进行了修改删除或是标记。</w:t>
            </w:r>
          </w:p>
          <w:p>
            <w:pPr>
              <w:pStyle w:val="2"/>
              <w:numPr>
                <w:ilvl w:val="0"/>
                <w:numId w:val="2"/>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lang w:val="en-US" w:eastAsia="zh-CN"/>
              </w:rPr>
              <w:t>明确下周目标为需求分析。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BDD6EE" w:themeFill="accent1" w:themeFillTint="66"/>
          </w:tcPr>
          <w:p>
            <w:pPr>
              <w:pStyle w:val="2"/>
              <w:numPr>
                <w:numId w:val="0"/>
              </w:numPr>
              <w:spacing w:after="0" w:line="400" w:lineRule="exact"/>
              <w:jc w:val="both"/>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trPr>
        <w:tc>
          <w:tcPr>
            <w:tcW w:w="8856" w:type="dxa"/>
          </w:tcPr>
          <w:p>
            <w:pPr>
              <w:pStyle w:val="2"/>
              <w:numPr>
                <w:ilvl w:val="0"/>
                <w:numId w:val="3"/>
              </w:numPr>
              <w:spacing w:after="0" w:line="400" w:lineRule="exact"/>
              <w:jc w:val="both"/>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成本投入的计算需随着项目的进展而跟进。</w:t>
            </w:r>
          </w:p>
          <w:p>
            <w:pPr>
              <w:pStyle w:val="2"/>
              <w:numPr>
                <w:ilvl w:val="0"/>
                <w:numId w:val="3"/>
              </w:numPr>
              <w:spacing w:after="0" w:line="400" w:lineRule="exact"/>
              <w:jc w:val="both"/>
              <w:rPr>
                <w:rFonts w:hint="default"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报告的模板仍需调整。</w:t>
            </w:r>
          </w:p>
          <w:p>
            <w:pPr>
              <w:pStyle w:val="2"/>
              <w:numPr>
                <w:ilvl w:val="0"/>
                <w:numId w:val="3"/>
              </w:numPr>
              <w:spacing w:after="0" w:line="400" w:lineRule="exact"/>
              <w:jc w:val="both"/>
              <w:rPr>
                <w:rFonts w:hint="default"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下周的具体工作安排计划于2日内明确。</w:t>
            </w:r>
            <w:bookmarkStart w:id="0" w:name="_GoBack"/>
            <w:bookmarkEnd w:id="0"/>
          </w:p>
        </w:tc>
      </w:tr>
    </w:tbl>
    <w:p>
      <w:pPr>
        <w:pStyle w:val="2"/>
        <w:spacing w:after="0" w:line="400" w:lineRule="exact"/>
        <w:jc w:val="both"/>
        <w:rPr>
          <w:rFonts w:ascii="微软雅黑" w:hAnsi="微软雅黑" w:eastAsia="微软雅黑" w:cs="微软雅黑"/>
        </w:rPr>
      </w:pP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6B2427"/>
    <w:multiLevelType w:val="singleLevel"/>
    <w:tmpl w:val="C46B2427"/>
    <w:lvl w:ilvl="0" w:tentative="0">
      <w:start w:val="1"/>
      <w:numFmt w:val="decimal"/>
      <w:lvlText w:val="%1."/>
      <w:lvlJc w:val="left"/>
      <w:pPr>
        <w:tabs>
          <w:tab w:val="left" w:pos="312"/>
        </w:tabs>
      </w:pPr>
    </w:lvl>
  </w:abstractNum>
  <w:abstractNum w:abstractNumId="1">
    <w:nsid w:val="58CFD356"/>
    <w:multiLevelType w:val="singleLevel"/>
    <w:tmpl w:val="58CFD356"/>
    <w:lvl w:ilvl="0" w:tentative="0">
      <w:start w:val="1"/>
      <w:numFmt w:val="decimal"/>
      <w:lvlText w:val="%1."/>
      <w:lvlJc w:val="left"/>
      <w:pPr>
        <w:tabs>
          <w:tab w:val="left" w:pos="312"/>
        </w:tabs>
      </w:pPr>
    </w:lvl>
  </w:abstractNum>
  <w:abstractNum w:abstractNumId="2">
    <w:nsid w:val="642AD95B"/>
    <w:multiLevelType w:val="singleLevel"/>
    <w:tmpl w:val="642AD95B"/>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42E10"/>
    <w:rsid w:val="00622B0F"/>
    <w:rsid w:val="00F92098"/>
    <w:rsid w:val="03BE1050"/>
    <w:rsid w:val="06AA2E58"/>
    <w:rsid w:val="0DF703C0"/>
    <w:rsid w:val="117F2A4E"/>
    <w:rsid w:val="128C481A"/>
    <w:rsid w:val="19B15618"/>
    <w:rsid w:val="1ED70EF0"/>
    <w:rsid w:val="1F361E4B"/>
    <w:rsid w:val="1FE26790"/>
    <w:rsid w:val="2C1B3595"/>
    <w:rsid w:val="31515433"/>
    <w:rsid w:val="34E746F6"/>
    <w:rsid w:val="39E42E10"/>
    <w:rsid w:val="3D7E6152"/>
    <w:rsid w:val="47612B34"/>
    <w:rsid w:val="5B5D7092"/>
    <w:rsid w:val="76160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8"/>
    <w:qFormat/>
    <w:uiPriority w:val="0"/>
    <w:pPr>
      <w:widowControl/>
      <w:spacing w:after="240"/>
      <w:jc w:val="left"/>
    </w:pPr>
    <w:rPr>
      <w:rFonts w:ascii="Arial" w:hAnsi="Arial" w:eastAsia="宋体" w:cs="Times New Roman"/>
      <w:kern w:val="0"/>
      <w:sz w:val="20"/>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正文文本 Char"/>
    <w:basedOn w:val="7"/>
    <w:link w:val="2"/>
    <w:qFormat/>
    <w:uiPriority w:val="0"/>
    <w:rPr>
      <w:rFonts w:hint="default" w:ascii="Arial" w:hAnsi="Arial" w:cs="Arial"/>
      <w:szCs w:val="24"/>
      <w:lang w:eastAsia="zh-CN"/>
    </w:rPr>
  </w:style>
  <w:style w:type="character" w:customStyle="1" w:styleId="9">
    <w:name w:val="页眉 Char"/>
    <w:basedOn w:val="7"/>
    <w:link w:val="4"/>
    <w:qFormat/>
    <w:uiPriority w:val="0"/>
    <w:rPr>
      <w:rFonts w:asciiTheme="minorHAnsi" w:hAnsiTheme="minorHAnsi" w:eastAsiaTheme="minorEastAsia" w:cstheme="minorBidi"/>
      <w:kern w:val="2"/>
      <w:sz w:val="18"/>
      <w:szCs w:val="18"/>
    </w:rPr>
  </w:style>
  <w:style w:type="character" w:customStyle="1" w:styleId="10">
    <w:name w:val="页脚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f814917c-8d03-4534-8085-bf4ff37c9e56\&#20250;&#35758;&#32426;&#3520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会议纪要.docx</Template>
  <Pages>1</Pages>
  <Words>105</Words>
  <Characters>105</Characters>
  <Lines>1</Lines>
  <Paragraphs>1</Paragraphs>
  <TotalTime>7</TotalTime>
  <ScaleCrop>false</ScaleCrop>
  <LinksUpToDate>false</LinksUpToDate>
  <CharactersWithSpaces>105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2021-10-19T10:51:00Z</dcterms:created>
  <dc:creator>风格浩</dc:creator>
  <cp:lastModifiedBy>风格浩</cp:lastModifiedBy>
  <dcterms:modified xsi:type="dcterms:W3CDTF">2021-10-19T11:39:15Z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KSOTemplateUUID">
    <vt:lpwstr>v1.0_mb_CmzG5DHtRBgELMnayRxeOg==</vt:lpwstr>
  </property>
  <property fmtid="{D5CDD505-2E9C-101B-9397-08002B2CF9AE}" pid="4" name="ICV">
    <vt:lpwstr>B53581671F3448488F8156C5F96B8C1E</vt:lpwstr>
  </property>
</Properties>
</file>