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45CD2A">
      <w:pPr>
        <w:pStyle w:val="3"/>
        <w:tabs>
          <w:tab w:val="left" w:pos="8568"/>
        </w:tabs>
        <w:spacing w:line="288" w:lineRule="auto"/>
        <w:ind w:firstLine="0" w:firstLineChars="0"/>
        <w:jc w:val="both"/>
        <w:rPr>
          <w:rFonts w:eastAsia="黑体"/>
        </w:rPr>
      </w:pPr>
    </w:p>
    <w:p w14:paraId="16B86AC6">
      <w:pPr>
        <w:pStyle w:val="3"/>
        <w:tabs>
          <w:tab w:val="left" w:pos="8568"/>
        </w:tabs>
        <w:spacing w:after="0" w:line="288" w:lineRule="auto"/>
        <w:ind w:firstLine="0" w:firstLineChars="0"/>
        <w:jc w:val="both"/>
        <w:rPr>
          <w:rFonts w:eastAsia="楷体_GB2312" w:cs="Arial"/>
          <w:sz w:val="28"/>
          <w:szCs w:val="28"/>
        </w:rPr>
        <w:sectPr>
          <w:headerReference r:id="rId7" w:type="first"/>
          <w:footerReference r:id="rId10" w:type="first"/>
          <w:headerReference r:id="rId5" w:type="default"/>
          <w:footerReference r:id="rId8" w:type="default"/>
          <w:headerReference r:id="rId6" w:type="even"/>
          <w:footerReference r:id="rId9" w:type="even"/>
          <w:pgSz w:w="11907" w:h="16840"/>
          <w:pgMar w:top="1701" w:right="1418" w:bottom="1701" w:left="1418" w:header="1247" w:footer="1247" w:gutter="0"/>
          <w:pgNumType w:fmt="upperRoman" w:start="1"/>
          <w:cols w:space="720" w:num="1"/>
          <w:titlePg/>
          <w:docGrid w:linePitch="326" w:charSpace="0"/>
        </w:sectPr>
      </w:pPr>
    </w:p>
    <w:p w14:paraId="3BE4E0A8">
      <w:pPr>
        <w:pStyle w:val="54"/>
        <w:spacing w:before="600" w:beforeLines="250" w:after="240"/>
        <w:outlineLvl w:val="9"/>
      </w:pPr>
      <w:r>
        <w:rPr>
          <w:rFonts w:hint="eastAsia"/>
        </w:rPr>
        <w:t>摘　要</w:t>
      </w:r>
    </w:p>
    <w:p w14:paraId="00131F54">
      <w:pPr>
        <w:tabs>
          <w:tab w:val="left" w:pos="8568"/>
        </w:tabs>
        <w:ind w:firstLine="476"/>
        <w:rPr>
          <w:rFonts w:hint="eastAsia" w:ascii="宋体" w:hAnsi="宋体"/>
        </w:rPr>
      </w:pPr>
      <w:r>
        <w:rPr>
          <w:rFonts w:ascii="宋体" w:hAnsi="宋体"/>
        </w:rPr>
        <w:t>黄河滩区经济发展与环境保护之间的冲突日益凸显，特别是以焦作市武陟、博爱为代表的地区，山药等高耗肥作物导致土壤肥力急剧下降、水土保持功能弱化。基于</w:t>
      </w:r>
      <w:r>
        <w:rPr>
          <w:rFonts w:hint="eastAsia" w:ascii="宋体" w:hAnsi="宋体"/>
        </w:rPr>
        <w:t>习近平生态文明思想的</w:t>
      </w:r>
      <w:r>
        <w:rPr>
          <w:rFonts w:ascii="宋体" w:hAnsi="宋体"/>
        </w:rPr>
        <w:t>法学视角，聚焦耕地红线约束下农民经济需求与黄河生态保护的矛盾。通过梳理《中华人民共和国黄河保护法》等政策文件，</w:t>
      </w:r>
      <w:r>
        <w:rPr>
          <w:rFonts w:hint="eastAsia" w:ascii="宋体" w:hAnsi="宋体"/>
        </w:rPr>
        <w:t>探究</w:t>
      </w:r>
      <w:r>
        <w:rPr>
          <w:rFonts w:ascii="宋体" w:hAnsi="宋体"/>
        </w:rPr>
        <w:t>连续种植山药、地黄等作物引发的土壤有机质流失、泥沙淤积加剧等问题。借鉴山东东营湿地修复、山西坡耕地整治经验，提出</w:t>
      </w:r>
      <w:r>
        <w:rPr>
          <w:rFonts w:hint="eastAsia" w:ascii="宋体" w:hAnsi="宋体"/>
        </w:rPr>
        <w:t>生态环境法典中下的</w:t>
      </w:r>
      <w:r>
        <w:rPr>
          <w:rFonts w:ascii="宋体" w:hAnsi="宋体"/>
        </w:rPr>
        <w:t>法治化路径，包括生态评估机制、绿色农业补贴优化及协调机制建设。在耕地红线前提下，实现</w:t>
      </w:r>
      <w:r>
        <w:rPr>
          <w:rFonts w:hint="eastAsia" w:ascii="宋体" w:hAnsi="宋体"/>
        </w:rPr>
        <w:t>农村经济发展</w:t>
      </w:r>
      <w:r>
        <w:rPr>
          <w:rFonts w:ascii="宋体" w:hAnsi="宋体"/>
        </w:rPr>
        <w:t>与黄河母亲河</w:t>
      </w:r>
      <w:r>
        <w:rPr>
          <w:rFonts w:hint="eastAsia" w:ascii="宋体" w:hAnsi="宋体"/>
        </w:rPr>
        <w:t>生态环境保护</w:t>
      </w:r>
      <w:r>
        <w:rPr>
          <w:rFonts w:ascii="宋体" w:hAnsi="宋体"/>
        </w:rPr>
        <w:t>的双重保障，推动黄河流域生态保护和高质量发展国家战略落地，为滩区可持续治理提供理论与实践支撑。</w:t>
      </w:r>
    </w:p>
    <w:p w14:paraId="3CCB2CA0">
      <w:pPr>
        <w:tabs>
          <w:tab w:val="left" w:pos="8568"/>
        </w:tabs>
        <w:ind w:firstLine="476"/>
      </w:pPr>
      <w:r>
        <w:rPr>
          <w:rFonts w:eastAsia="黑体"/>
        </w:rPr>
        <w:t>关键词：</w:t>
      </w:r>
      <w:r>
        <w:t xml:space="preserve"> 黄河滩区治理；山药种植；水土流失；</w:t>
      </w:r>
      <w:r>
        <w:rPr>
          <w:rFonts w:hint="eastAsia"/>
        </w:rPr>
        <w:t>习近平生态文明思想</w:t>
      </w:r>
      <w:r>
        <w:fldChar w:fldCharType="begin"/>
      </w:r>
      <w:r>
        <w:instrText xml:space="preserve">?MACROBUTTON NoMacro [Click and type abstract text here.]</w:instrText>
      </w:r>
      <w:r>
        <w:fldChar w:fldCharType="separate"/>
      </w:r>
      <w:r>
        <w:fldChar w:fldCharType="end"/>
      </w:r>
    </w:p>
    <w:p w14:paraId="597BC09A">
      <w:pPr>
        <w:tabs>
          <w:tab w:val="left" w:pos="8568"/>
        </w:tabs>
        <w:ind w:firstLine="396" w:firstLineChars="168"/>
      </w:pPr>
    </w:p>
    <w:p w14:paraId="7B98C2E9">
      <w:pPr>
        <w:tabs>
          <w:tab w:val="left" w:pos="8568"/>
        </w:tabs>
        <w:ind w:firstLine="396" w:firstLineChars="168"/>
      </w:pPr>
    </w:p>
    <w:p w14:paraId="2E7A6539">
      <w:pPr>
        <w:tabs>
          <w:tab w:val="left" w:pos="8568"/>
        </w:tabs>
        <w:ind w:firstLine="396" w:firstLineChars="168"/>
      </w:pPr>
    </w:p>
    <w:p w14:paraId="288A09DC">
      <w:pPr>
        <w:tabs>
          <w:tab w:val="left" w:pos="8568"/>
        </w:tabs>
        <w:ind w:firstLine="396" w:firstLineChars="168"/>
        <w:sectPr>
          <w:headerReference r:id="rId11" w:type="first"/>
          <w:footerReference r:id="rId12" w:type="first"/>
          <w:pgSz w:w="11907" w:h="16840"/>
          <w:pgMar w:top="1701" w:right="1418" w:bottom="1701" w:left="1418" w:header="1247" w:footer="1247" w:gutter="0"/>
          <w:pgNumType w:fmt="upperRoman" w:start="1"/>
          <w:cols w:space="720" w:num="1"/>
          <w:titlePg/>
          <w:docGrid w:linePitch="326" w:charSpace="0"/>
        </w:sectPr>
      </w:pPr>
    </w:p>
    <w:p w14:paraId="52A901B5">
      <w:pPr>
        <w:tabs>
          <w:tab w:val="left" w:pos="8568"/>
          <w:tab w:val="clear" w:pos="8640"/>
        </w:tabs>
        <w:spacing w:before="600" w:beforeLines="250" w:after="240" w:afterLines="100" w:line="360" w:lineRule="auto"/>
        <w:ind w:firstLine="0" w:firstLineChars="0"/>
        <w:jc w:val="center"/>
        <w:rPr>
          <w:rFonts w:ascii="Arial Black" w:hAnsi="Arial Black"/>
          <w:sz w:val="32"/>
        </w:rPr>
      </w:pPr>
      <w:r>
        <w:rPr>
          <w:rFonts w:ascii="Arial Black" w:hAnsi="Arial Black"/>
          <w:sz w:val="32"/>
        </w:rPr>
        <w:t>Abstract</w:t>
      </w:r>
    </w:p>
    <w:p w14:paraId="38B34CDA">
      <w:pPr>
        <w:tabs>
          <w:tab w:val="left" w:pos="8568"/>
          <w:tab w:val="clear" w:pos="8640"/>
        </w:tabs>
        <w:ind w:firstLine="476"/>
      </w:pPr>
      <w:r>
        <w:t>The conflict between economic development and environmental protection in the Yellow River floodplain area has become increasingly prominent, especially in regions represented by Wuzhi and Bo'ai in Jiaozuo City. The cultivation of high-fertilizer-consuming crops such as yam has led to a sharp decline in soil fertility and weakened the water and soil conservation function. By sorting out policy documents such as the "Yellow River Protection Law of the People's Republic of China", this paper explores issues such as the loss of soil organic matter and the intensification of sediment deposition caused by continuous planting of crops such as yam and rehmannia. Drawing on the experience of wetland restoration in Dongying, Shandong Province and the improvement of sloping farmland in Shanxi Province, it proposes a legal path under the ecological environment code, including the establishment of an ecological assessment mechanism, the optimization of green agricultural subsidies and the construction of a coordination mechanism. Under the premise of the red line for cultivated land, it aims to achieve dual guarantees for rural economic development and the ecological environment protection of the Yellow River, promote the implementation of the national strategy of ecological protection and high-quality development in the Yellow River Basin, and provide theoretical and practical support for the sustainable governance of the floodplain.</w:t>
      </w:r>
    </w:p>
    <w:p w14:paraId="236EF60E">
      <w:pPr>
        <w:tabs>
          <w:tab w:val="left" w:pos="8568"/>
          <w:tab w:val="clear" w:pos="8640"/>
        </w:tabs>
        <w:ind w:firstLine="476"/>
      </w:pPr>
    </w:p>
    <w:p w14:paraId="519827B4">
      <w:pPr>
        <w:tabs>
          <w:tab w:val="left" w:pos="8568"/>
          <w:tab w:val="clear" w:pos="8640"/>
        </w:tabs>
        <w:spacing w:line="360" w:lineRule="auto"/>
        <w:ind w:firstLine="476"/>
      </w:pPr>
      <w:r>
        <w:rPr>
          <w:rFonts w:ascii="Arial Black" w:hAnsi="Arial Black"/>
        </w:rPr>
        <w:t>Key Words:</w:t>
      </w:r>
      <w:r>
        <w:rPr>
          <w:rFonts w:hint="eastAsia" w:ascii="Arial Black" w:hAnsi="Arial Black"/>
        </w:rPr>
        <w:t xml:space="preserve"> </w:t>
      </w:r>
      <w:r>
        <w:t>Management of the Yellow River floodplain; Cultivation of Chinese yam; Soil erosion; Xi Jinping Thought on Ecological Civilization</w:t>
      </w:r>
    </w:p>
    <w:p w14:paraId="5537FC6E">
      <w:pPr>
        <w:tabs>
          <w:tab w:val="left" w:pos="8568"/>
          <w:tab w:val="clear" w:pos="8640"/>
        </w:tabs>
        <w:spacing w:line="360" w:lineRule="auto"/>
        <w:ind w:firstLine="476"/>
      </w:pPr>
    </w:p>
    <w:p w14:paraId="5FDBF235">
      <w:pPr>
        <w:tabs>
          <w:tab w:val="left" w:pos="8568"/>
          <w:tab w:val="clear" w:pos="8640"/>
        </w:tabs>
        <w:spacing w:line="360" w:lineRule="auto"/>
        <w:ind w:firstLine="476"/>
        <w:sectPr>
          <w:pgSz w:w="11907" w:h="16840"/>
          <w:pgMar w:top="1701" w:right="1418" w:bottom="1701" w:left="1418" w:header="1247" w:footer="1247" w:gutter="0"/>
          <w:pgNumType w:fmt="upperRoman"/>
          <w:cols w:space="720" w:num="1"/>
          <w:titlePg/>
          <w:docGrid w:linePitch="326" w:charSpace="0"/>
        </w:sectPr>
      </w:pPr>
    </w:p>
    <w:p w14:paraId="13E7CAD3">
      <w:pPr>
        <w:spacing w:before="600" w:beforeLines="250" w:after="240" w:afterLines="100"/>
        <w:ind w:firstLine="0" w:firstLineChars="0"/>
        <w:jc w:val="center"/>
        <w:rPr>
          <w:rFonts w:ascii="黑体" w:eastAsia="黑体"/>
          <w:sz w:val="32"/>
        </w:rPr>
      </w:pPr>
      <w:r>
        <w:rPr>
          <w:rFonts w:hint="eastAsia" w:ascii="黑体" w:eastAsia="黑体"/>
          <w:sz w:val="32"/>
        </w:rPr>
        <w:t>目　录</w:t>
      </w:r>
    </w:p>
    <w:p w14:paraId="6BC56EF7">
      <w:pPr>
        <w:pStyle w:val="21"/>
        <w:tabs>
          <w:tab w:val="right" w:leader="dot" w:pos="9061"/>
        </w:tabs>
        <w:ind w:firstLine="482"/>
        <w:rPr>
          <w:rFonts w:hint="eastAsia" w:asciiTheme="minorHAnsi" w:hAnsiTheme="minorHAnsi" w:eastAsiaTheme="minorEastAsia" w:cstheme="minorBidi"/>
          <w:spacing w:val="0"/>
          <w:kern w:val="2"/>
          <w:sz w:val="22"/>
          <w:szCs w:val="24"/>
          <w14:ligatures w14:val="standardContextual"/>
        </w:rPr>
      </w:pPr>
      <w:r>
        <w:rPr>
          <w:rFonts w:hint="eastAsia" w:ascii="宋体" w:hAnsi="宋体"/>
          <w:b/>
          <w:caps/>
          <w:szCs w:val="24"/>
        </w:rPr>
        <w:fldChar w:fldCharType="begin"/>
      </w:r>
      <w:r>
        <w:rPr>
          <w:rFonts w:hint="eastAsia" w:ascii="宋体" w:hAnsi="宋体"/>
          <w:szCs w:val="24"/>
        </w:rPr>
        <w:instrText xml:space="preserve"> TOC \o "1-3" \h \z \u </w:instrText>
      </w:r>
      <w:r>
        <w:rPr>
          <w:rFonts w:hint="eastAsia" w:ascii="宋体" w:hAnsi="宋体"/>
          <w:b/>
          <w:caps/>
          <w:szCs w:val="24"/>
        </w:rPr>
        <w:fldChar w:fldCharType="separate"/>
      </w:r>
      <w:r>
        <w:fldChar w:fldCharType="begin"/>
      </w:r>
      <w:r>
        <w:instrText xml:space="preserve"> HYPERLINK \l "_Toc221972838" </w:instrText>
      </w:r>
      <w:r>
        <w:fldChar w:fldCharType="separate"/>
      </w:r>
      <w:r>
        <w:rPr>
          <w:rStyle w:val="31"/>
          <w:rFonts w:hint="eastAsia" w:ascii="黑体" w:eastAsia="黑体"/>
        </w:rPr>
        <w:t>引　言</w:t>
      </w:r>
      <w:r>
        <w:rPr>
          <w:rFonts w:hint="eastAsia"/>
        </w:rPr>
        <w:tab/>
      </w:r>
      <w:r>
        <w:rPr>
          <w:rFonts w:hint="eastAsia"/>
        </w:rPr>
        <w:fldChar w:fldCharType="begin"/>
      </w:r>
      <w:r>
        <w:rPr>
          <w:rFonts w:hint="eastAsia"/>
        </w:rPr>
        <w:instrText xml:space="preserve"> </w:instrText>
      </w:r>
      <w:r>
        <w:instrText xml:space="preserve">PAGEREF _Toc221972838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03EFD62">
      <w:pPr>
        <w:pStyle w:val="21"/>
        <w:tabs>
          <w:tab w:val="right" w:leader="dot" w:pos="9061"/>
        </w:tabs>
        <w:ind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"_Toc221972839" </w:instrText>
      </w:r>
      <w:r>
        <w:fldChar w:fldCharType="separate"/>
      </w:r>
      <w:r>
        <w:rPr>
          <w:rStyle w:val="31"/>
          <w:rFonts w:hint="eastAsia"/>
        </w:rPr>
        <w:t>1 黄河滩区焦作段概况</w:t>
      </w:r>
      <w:r>
        <w:rPr>
          <w:rFonts w:hint="eastAsia"/>
        </w:rPr>
        <w:tab/>
      </w:r>
      <w:r>
        <w:rPr>
          <w:rFonts w:hint="eastAsia"/>
        </w:rPr>
        <w:fldChar w:fldCharType="begin"/>
      </w:r>
      <w:r>
        <w:rPr>
          <w:rFonts w:hint="eastAsia"/>
        </w:rPr>
        <w:instrText xml:space="preserve"> </w:instrText>
      </w:r>
      <w:r>
        <w:instrText xml:space="preserve">PAGEREF _Toc221972839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B8B519F">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"_Toc221972840" </w:instrText>
      </w:r>
      <w:r>
        <w:fldChar w:fldCharType="separate"/>
      </w:r>
      <w:r>
        <w:rPr>
          <w:rStyle w:val="31"/>
          <w:rFonts w:hint="eastAsia"/>
        </w:rPr>
        <w:t>1.1 焦作段滩区的特有背景</w:t>
      </w:r>
      <w:r>
        <w:rPr>
          <w:rFonts w:hint="eastAsia"/>
        </w:rPr>
        <w:tab/>
      </w:r>
      <w:r>
        <w:rPr>
          <w:rFonts w:hint="eastAsia"/>
        </w:rPr>
        <w:fldChar w:fldCharType="begin"/>
      </w:r>
      <w:r>
        <w:rPr>
          <w:rFonts w:hint="eastAsia"/>
        </w:rPr>
        <w:instrText xml:space="preserve"> </w:instrText>
      </w:r>
      <w:r>
        <w:instrText xml:space="preserve">PAGEREF _Toc221972840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AC7235F">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"_Toc221972841" </w:instrText>
      </w:r>
      <w:r>
        <w:fldChar w:fldCharType="separate"/>
      </w:r>
      <w:r>
        <w:rPr>
          <w:rStyle w:val="31"/>
          <w:rFonts w:hint="eastAsia"/>
        </w:rPr>
        <w:t>1.2 滩区经济生态发展问题</w:t>
      </w:r>
      <w:r>
        <w:rPr>
          <w:rFonts w:hint="eastAsia"/>
        </w:rPr>
        <w:tab/>
      </w:r>
      <w:r>
        <w:rPr>
          <w:rFonts w:hint="eastAsia"/>
        </w:rPr>
        <w:fldChar w:fldCharType="begin"/>
      </w:r>
      <w:r>
        <w:rPr>
          <w:rFonts w:hint="eastAsia"/>
        </w:rPr>
        <w:instrText xml:space="preserve"> </w:instrText>
      </w:r>
      <w:r>
        <w:instrText xml:space="preserve">PAGEREF _Toc221972841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A4A87D">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"_Toc221972842" </w:instrText>
      </w:r>
      <w:r>
        <w:fldChar w:fldCharType="separate"/>
      </w:r>
      <w:r>
        <w:rPr>
          <w:rStyle w:val="31"/>
          <w:rFonts w:hint="eastAsia"/>
        </w:rPr>
        <w:t>1.3 国家政策支持与法学支撑</w:t>
      </w:r>
      <w:r>
        <w:rPr>
          <w:rFonts w:hint="eastAsia"/>
        </w:rPr>
        <w:tab/>
      </w:r>
      <w:r>
        <w:rPr>
          <w:rFonts w:hint="eastAsia"/>
        </w:rPr>
        <w:fldChar w:fldCharType="begin"/>
      </w:r>
      <w:r>
        <w:rPr>
          <w:rFonts w:hint="eastAsia"/>
        </w:rPr>
        <w:instrText xml:space="preserve"> </w:instrText>
      </w:r>
      <w:r>
        <w:instrText xml:space="preserve">PAGEREF _Toc221972842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BE08700">
      <w:pPr>
        <w:pStyle w:val="21"/>
        <w:tabs>
          <w:tab w:val="right" w:leader="dot" w:pos="9061"/>
        </w:tabs>
        <w:ind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"_Toc221972843" </w:instrText>
      </w:r>
      <w:r>
        <w:fldChar w:fldCharType="separate"/>
      </w:r>
      <w:r>
        <w:rPr>
          <w:rStyle w:val="31"/>
          <w:rFonts w:hint="eastAsia"/>
        </w:rPr>
        <w:t>2 滩区农业经济与环境破坏</w:t>
      </w:r>
      <w:r>
        <w:rPr>
          <w:rFonts w:hint="eastAsia"/>
        </w:rPr>
        <w:tab/>
      </w:r>
      <w:r>
        <w:rPr>
          <w:rFonts w:hint="eastAsia"/>
        </w:rPr>
        <w:fldChar w:fldCharType="begin"/>
      </w:r>
      <w:r>
        <w:rPr>
          <w:rFonts w:hint="eastAsia"/>
        </w:rPr>
        <w:instrText xml:space="preserve"> </w:instrText>
      </w:r>
      <w:r>
        <w:instrText xml:space="preserve">PAGEREF _Toc221972843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FA7B855">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"_Toc221972844" </w:instrText>
      </w:r>
      <w:r>
        <w:fldChar w:fldCharType="separate"/>
      </w:r>
      <w:r>
        <w:rPr>
          <w:rStyle w:val="31"/>
          <w:rFonts w:hint="eastAsia"/>
        </w:rPr>
        <w:t>2.1 高强度耕作对土壤结构的系统性破坏</w:t>
      </w:r>
      <w:r>
        <w:rPr>
          <w:rFonts w:hint="eastAsia"/>
        </w:rPr>
        <w:tab/>
      </w:r>
      <w:r>
        <w:rPr>
          <w:rFonts w:hint="eastAsia"/>
        </w:rPr>
        <w:fldChar w:fldCharType="begin"/>
      </w:r>
      <w:r>
        <w:rPr>
          <w:rFonts w:hint="eastAsia"/>
        </w:rPr>
        <w:instrText xml:space="preserve"> </w:instrText>
      </w:r>
      <w:r>
        <w:instrText xml:space="preserve">PAGEREF _Toc221972844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0576A99">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"_Toc221972845" </w:instrText>
      </w:r>
      <w:r>
        <w:fldChar w:fldCharType="separate"/>
      </w:r>
      <w:r>
        <w:rPr>
          <w:rStyle w:val="31"/>
          <w:rFonts w:hint="eastAsia"/>
        </w:rPr>
        <w:t>2.2 耕地红线约束下的经济与生态的冲突</w:t>
      </w:r>
      <w:r>
        <w:rPr>
          <w:rFonts w:hint="eastAsia"/>
        </w:rPr>
        <w:tab/>
      </w:r>
      <w:r>
        <w:rPr>
          <w:rFonts w:hint="eastAsia"/>
        </w:rPr>
        <w:fldChar w:fldCharType="begin"/>
      </w:r>
      <w:r>
        <w:rPr>
          <w:rFonts w:hint="eastAsia"/>
        </w:rPr>
        <w:instrText xml:space="preserve"> </w:instrText>
      </w:r>
      <w:r>
        <w:instrText xml:space="preserve">PAGEREF _Toc221972845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4A141A1">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"_Toc221972846" </w:instrText>
      </w:r>
      <w:r>
        <w:fldChar w:fldCharType="separate"/>
      </w:r>
      <w:r>
        <w:rPr>
          <w:rStyle w:val="31"/>
          <w:rFonts w:hint="eastAsia"/>
        </w:rPr>
        <w:t>2.3 黄河文化地位与治理法治困境</w:t>
      </w:r>
      <w:r>
        <w:rPr>
          <w:rFonts w:hint="eastAsia"/>
        </w:rPr>
        <w:tab/>
      </w:r>
      <w:r>
        <w:rPr>
          <w:rFonts w:hint="eastAsia"/>
        </w:rPr>
        <w:fldChar w:fldCharType="begin"/>
      </w:r>
      <w:r>
        <w:rPr>
          <w:rFonts w:hint="eastAsia"/>
        </w:rPr>
        <w:instrText xml:space="preserve"> </w:instrText>
      </w:r>
      <w:r>
        <w:instrText xml:space="preserve">PAGEREF _Toc221972846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95F935B">
      <w:pPr>
        <w:pStyle w:val="21"/>
        <w:tabs>
          <w:tab w:val="right" w:leader="dot" w:pos="9061"/>
        </w:tabs>
        <w:ind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"_Toc221972847" </w:instrText>
      </w:r>
      <w:r>
        <w:fldChar w:fldCharType="separate"/>
      </w:r>
      <w:r>
        <w:rPr>
          <w:rStyle w:val="31"/>
          <w:rFonts w:hint="eastAsia"/>
        </w:rPr>
        <w:t>3 解决路径与对策</w:t>
      </w:r>
      <w:r>
        <w:rPr>
          <w:rFonts w:hint="eastAsia"/>
        </w:rPr>
        <w:tab/>
      </w:r>
      <w:r>
        <w:rPr>
          <w:rFonts w:hint="eastAsia"/>
        </w:rPr>
        <w:fldChar w:fldCharType="begin"/>
      </w:r>
      <w:r>
        <w:rPr>
          <w:rFonts w:hint="eastAsia"/>
        </w:rPr>
        <w:instrText xml:space="preserve"> </w:instrText>
      </w:r>
      <w:r>
        <w:instrText xml:space="preserve">PAGEREF _Toc221972847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2A4EA0A">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"_Toc221972848" </w:instrText>
      </w:r>
      <w:r>
        <w:fldChar w:fldCharType="separate"/>
      </w:r>
      <w:r>
        <w:rPr>
          <w:rStyle w:val="31"/>
          <w:rFonts w:hint="eastAsia"/>
        </w:rPr>
        <w:t>3.1 特殊省情下的治理措施</w:t>
      </w:r>
      <w:r>
        <w:rPr>
          <w:rFonts w:hint="eastAsia"/>
        </w:rPr>
        <w:tab/>
      </w:r>
      <w:r>
        <w:rPr>
          <w:rFonts w:hint="eastAsia"/>
        </w:rPr>
        <w:fldChar w:fldCharType="begin"/>
      </w:r>
      <w:r>
        <w:rPr>
          <w:rFonts w:hint="eastAsia"/>
        </w:rPr>
        <w:instrText xml:space="preserve"> </w:instrText>
      </w:r>
      <w:r>
        <w:instrText xml:space="preserve">PAGEREF _Toc221972848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BB3759F">
      <w:pPr>
        <w:pStyle w:val="24"/>
        <w:tabs>
          <w:tab w:val="right" w:leader="dot" w:pos="9061"/>
        </w:tabs>
        <w:ind w:left="476"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"_Toc221972849" </w:instrText>
      </w:r>
      <w:r>
        <w:fldChar w:fldCharType="separate"/>
      </w:r>
      <w:r>
        <w:rPr>
          <w:rStyle w:val="31"/>
          <w:rFonts w:hint="eastAsia"/>
        </w:rPr>
        <w:t>3.2 其他省份滩区治理经验借鉴</w:t>
      </w:r>
      <w:r>
        <w:rPr>
          <w:rFonts w:hint="eastAsia"/>
        </w:rPr>
        <w:tab/>
      </w:r>
      <w:r>
        <w:rPr>
          <w:rFonts w:hint="eastAsia"/>
        </w:rPr>
        <w:fldChar w:fldCharType="begin"/>
      </w:r>
      <w:r>
        <w:rPr>
          <w:rFonts w:hint="eastAsia"/>
        </w:rPr>
        <w:instrText xml:space="preserve"> </w:instrText>
      </w:r>
      <w:r>
        <w:instrText xml:space="preserve">PAGEREF _Toc221972849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EB4357E">
      <w:pPr>
        <w:pStyle w:val="21"/>
        <w:tabs>
          <w:tab w:val="right" w:leader="dot" w:pos="9061"/>
        </w:tabs>
        <w:ind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"_Toc221972850" </w:instrText>
      </w:r>
      <w:r>
        <w:fldChar w:fldCharType="separate"/>
      </w:r>
      <w:r>
        <w:rPr>
          <w:rStyle w:val="31"/>
          <w:rFonts w:hint="eastAsia" w:ascii="Arial" w:hAnsi="Arial" w:eastAsia="黑体"/>
        </w:rPr>
        <w:t>结论</w:t>
      </w:r>
      <w:r>
        <w:rPr>
          <w:rFonts w:hint="eastAsia"/>
        </w:rPr>
        <w:tab/>
      </w:r>
      <w:r>
        <w:rPr>
          <w:rFonts w:hint="eastAsia"/>
        </w:rPr>
        <w:fldChar w:fldCharType="begin"/>
      </w:r>
      <w:r>
        <w:rPr>
          <w:rFonts w:hint="eastAsia"/>
        </w:rPr>
        <w:instrText xml:space="preserve"> </w:instrText>
      </w:r>
      <w:r>
        <w:instrText xml:space="preserve">PAGEREF _Toc221972850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2750FB9">
      <w:pPr>
        <w:pStyle w:val="21"/>
        <w:tabs>
          <w:tab w:val="right" w:leader="dot" w:pos="9061"/>
        </w:tabs>
        <w:ind w:firstLine="480"/>
        <w:rPr>
          <w:rFonts w:hint="eastAsia" w:asciiTheme="minorHAnsi" w:hAnsiTheme="minorHAnsi" w:eastAsiaTheme="minorEastAsia" w:cstheme="minorBidi"/>
          <w:spacing w:val="0"/>
          <w:kern w:val="2"/>
          <w:sz w:val="22"/>
          <w:szCs w:val="24"/>
          <w14:ligatures w14:val="standardContextual"/>
        </w:rPr>
      </w:pPr>
      <w:r>
        <w:fldChar w:fldCharType="begin"/>
      </w:r>
      <w:r>
        <w:instrText xml:space="preserve"> HYPERLINK \l "_Toc221972851" </w:instrText>
      </w:r>
      <w:r>
        <w:fldChar w:fldCharType="separate"/>
      </w:r>
      <w:r>
        <w:rPr>
          <w:rStyle w:val="31"/>
          <w:rFonts w:hint="eastAsia" w:ascii="宋体" w:hAnsi="宋体" w:cs="Arial"/>
          <w:b/>
        </w:rPr>
        <w:t>参考文献</w:t>
      </w:r>
      <w:r>
        <w:rPr>
          <w:rFonts w:hint="eastAsia"/>
        </w:rPr>
        <w:tab/>
      </w:r>
      <w:r>
        <w:rPr>
          <w:rFonts w:hint="eastAsia"/>
        </w:rPr>
        <w:fldChar w:fldCharType="begin"/>
      </w:r>
      <w:r>
        <w:rPr>
          <w:rFonts w:hint="eastAsia"/>
        </w:rPr>
        <w:instrText xml:space="preserve"> </w:instrText>
      </w:r>
      <w:r>
        <w:instrText xml:space="preserve">PAGEREF _Toc221972851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D0124FA">
      <w:pPr>
        <w:pStyle w:val="38"/>
        <w:spacing w:before="0" w:after="0"/>
        <w:ind w:firstLine="0" w:firstLineChars="0"/>
        <w:jc w:val="both"/>
      </w:pPr>
      <w:r>
        <w:rPr>
          <w:rFonts w:hint="eastAsia" w:ascii="宋体" w:hAnsi="宋体"/>
          <w:b w:val="0"/>
          <w:caps w:val="0"/>
          <w:sz w:val="24"/>
          <w:szCs w:val="24"/>
        </w:rPr>
        <w:fldChar w:fldCharType="end"/>
      </w:r>
    </w:p>
    <w:p w14:paraId="7FF44749">
      <w:pPr>
        <w:pStyle w:val="38"/>
        <w:ind w:firstLine="0" w:firstLineChars="0"/>
        <w:rPr>
          <w:sz w:val="24"/>
        </w:rPr>
      </w:pPr>
      <w:r>
        <w:rPr>
          <w:rFonts w:hint="eastAsia"/>
          <w:sz w:val="24"/>
        </w:rPr>
        <w:t>（注：仅把前三级标题列入目录。）</w:t>
      </w:r>
    </w:p>
    <w:p w14:paraId="595FABC3">
      <w:pPr>
        <w:pStyle w:val="38"/>
        <w:ind w:firstLine="0" w:firstLineChars="0"/>
        <w:rPr>
          <w:sz w:val="24"/>
        </w:rPr>
      </w:pPr>
    </w:p>
    <w:p w14:paraId="464D3593">
      <w:pPr>
        <w:pStyle w:val="38"/>
        <w:ind w:firstLine="0" w:firstLineChars="0"/>
        <w:rPr>
          <w:rFonts w:hint="eastAsia"/>
          <w:sz w:val="24"/>
        </w:rPr>
        <w:sectPr>
          <w:footerReference r:id="rId14" w:type="first"/>
          <w:headerReference r:id="rId13" w:type="default"/>
          <w:pgSz w:w="11907" w:h="16840"/>
          <w:pgMar w:top="1701" w:right="1418" w:bottom="1701" w:left="1418" w:header="1247" w:footer="1247" w:gutter="0"/>
          <w:pgNumType w:fmt="upperRoman"/>
          <w:cols w:space="720" w:num="1"/>
          <w:docGrid w:linePitch="326" w:charSpace="0"/>
        </w:sectPr>
      </w:pPr>
      <w:bookmarkStart w:id="43" w:name="_GoBack"/>
    </w:p>
    <w:bookmarkEnd w:id="43"/>
    <w:p w14:paraId="665A1CAE">
      <w:pPr>
        <w:keepNext/>
        <w:tabs>
          <w:tab w:val="left" w:pos="8568"/>
        </w:tabs>
        <w:spacing w:before="600" w:beforeLines="250" w:after="240"/>
        <w:ind w:firstLine="0" w:firstLineChars="0"/>
        <w:jc w:val="center"/>
        <w:outlineLvl w:val="0"/>
        <w:rPr>
          <w:rFonts w:ascii="黑体" w:eastAsia="黑体"/>
          <w:sz w:val="32"/>
        </w:rPr>
      </w:pPr>
      <w:bookmarkStart w:id="0" w:name="_Toc221972838"/>
      <w:bookmarkStart w:id="1" w:name="_Toc221393367"/>
      <w:r>
        <w:rPr>
          <w:rFonts w:hint="eastAsia" w:ascii="黑体" w:eastAsia="黑体"/>
          <w:sz w:val="32"/>
        </w:rPr>
        <w:t>引　言</w:t>
      </w:r>
      <w:bookmarkEnd w:id="0"/>
      <w:bookmarkEnd w:id="1"/>
    </w:p>
    <w:p w14:paraId="2A0B24BE">
      <w:pPr>
        <w:tabs>
          <w:tab w:val="left" w:pos="8568"/>
        </w:tabs>
        <w:ind w:firstLine="476"/>
      </w:pPr>
      <w:r>
        <w:t>黄河作为中华民族的母亲河，全长5464公里，其河南段滩区因泥沙长期淤积形成独特的“地上河”地貌，堤内高于堤外，水沙调控与行洪安全压力突出。焦作段作为典型区域，土壤以冲积砂壤土为主，有机质含量偏低，加之暖温带半湿润气候下旱涝风沙频发，生态系统本就脆弱，主要依赖农田防护林维系水土平衡。</w:t>
      </w:r>
      <w:r>
        <w:rPr>
          <w:color w:val="EE0000"/>
        </w:rPr>
        <w:fldChar w:fldCharType="begin"/>
      </w:r>
      <w:r>
        <w:rPr>
          <w:color w:val="EE0000"/>
        </w:rPr>
        <w:instrText xml:space="preserve"> REF _Ref221971922 \r \h  \* MERGEFORMAT </w:instrText>
      </w:r>
      <w:r>
        <w:rPr>
          <w:color w:val="EE0000"/>
        </w:rPr>
        <w:fldChar w:fldCharType="separate"/>
      </w:r>
      <w:r>
        <w:rPr>
          <w:color w:val="EE0000"/>
          <w:vertAlign w:val="superscript"/>
        </w:rPr>
        <w:t>[1]</w:t>
      </w:r>
      <w:r>
        <w:rPr>
          <w:color w:val="EE0000"/>
        </w:rPr>
        <w:fldChar w:fldCharType="end"/>
      </w:r>
      <w:r>
        <w:fldChar w:fldCharType="begin"/>
      </w:r>
      <w:r>
        <w:instrText xml:space="preserve"> PAGEREF _Ref221971922 \h </w:instrText>
      </w:r>
      <w:r>
        <w:fldChar w:fldCharType="separate"/>
      </w:r>
      <w:r>
        <w:fldChar w:fldCharType="end"/>
      </w:r>
      <w:r>
        <w:t>历史上，中原农耕文明兴盛，国家曾推行退耕还林、还湖等生态修复工程；然而近十年来，受耕地红线刚性约束与地方GDP增长诉求双重驱动，大量防护林地被转为耕地，山药等高经济价值作物种植面积迅速扩张，生态屏障功能持续弱化。</w:t>
      </w:r>
    </w:p>
    <w:p w14:paraId="088D4539">
      <w:pPr>
        <w:tabs>
          <w:tab w:val="clear" w:pos="8640"/>
        </w:tabs>
        <w:ind w:firstLine="476"/>
      </w:pPr>
      <w:r>
        <w:t>山药产业已成为滩区经济支柱</w:t>
      </w:r>
      <w:r>
        <w:rPr>
          <w:rFonts w:hint="eastAsia"/>
        </w:rPr>
        <w:t>，</w:t>
      </w:r>
      <w:r>
        <w:t>数据显示，河南省山药种植面积由2005年的1.3万公顷增至7万公顷，其中焦作市占比达1.7万公顷。</w:t>
      </w:r>
      <w:r>
        <w:fldChar w:fldCharType="begin"/>
      </w:r>
      <w:r>
        <w:instrText xml:space="preserve"> REF _Ref221971974 \r \h  \* MERGEFORMAT </w:instrText>
      </w:r>
      <w:r>
        <w:fldChar w:fldCharType="separate"/>
      </w:r>
      <w:r>
        <w:rPr>
          <w:vertAlign w:val="superscript"/>
        </w:rPr>
        <w:t>[2]</w:t>
      </w:r>
      <w:r>
        <w:fldChar w:fldCharType="end"/>
      </w:r>
      <w:r>
        <w:t>温县等地虽因砂壤土质地获得较高产量，但品质稳定性不足；加之机械化种植虽提升短期效益，却因山药、地黄等作物对土壤肥力的高强度索取</w:t>
      </w:r>
      <w:r>
        <w:rPr>
          <w:rFonts w:hint="eastAsia"/>
        </w:rPr>
        <w:t>，例如</w:t>
      </w:r>
      <w:r>
        <w:t>单季氮磷钾吸收量达15–20公斤/亩，有机质消耗率超25%导致连作后土壤结构板结、养分枯竭，自然恢复周期长达3至5年。</w:t>
      </w:r>
      <w:r>
        <w:fldChar w:fldCharType="begin"/>
      </w:r>
      <w:r>
        <w:instrText xml:space="preserve"> REF _Ref221972063 \r \h  \* MERGEFORMAT </w:instrText>
      </w:r>
      <w:r>
        <w:fldChar w:fldCharType="separate"/>
      </w:r>
      <w:r>
        <w:rPr>
          <w:vertAlign w:val="superscript"/>
        </w:rPr>
        <w:t>[3]</w:t>
      </w:r>
      <w:r>
        <w:fldChar w:fldCharType="end"/>
      </w:r>
      <w:r>
        <w:t>在《焦作市四大怀药保护和发展条例》补贴政策激励与生计压力共同作用下</w:t>
      </w:r>
      <w:r>
        <w:fldChar w:fldCharType="begin"/>
      </w:r>
      <w:r>
        <w:instrText xml:space="preserve"> REF _Ref221972085 \r \h  \* MERGEFORMAT </w:instrText>
      </w:r>
      <w:r>
        <w:fldChar w:fldCharType="separate"/>
      </w:r>
      <w:r>
        <w:rPr>
          <w:vertAlign w:val="superscript"/>
        </w:rPr>
        <w:t>[4]</w:t>
      </w:r>
      <w:r>
        <w:fldChar w:fldCharType="end"/>
      </w:r>
      <w:r>
        <w:t>，农户倾向于不间断轮作地黄等药材，形成</w:t>
      </w:r>
      <w:r>
        <w:rPr>
          <w:rFonts w:hint="eastAsia"/>
        </w:rPr>
        <w:t>从</w:t>
      </w:r>
      <w:r>
        <w:t>高产出</w:t>
      </w:r>
      <w:r>
        <w:rPr>
          <w:rFonts w:hint="eastAsia"/>
        </w:rPr>
        <w:t>到</w:t>
      </w:r>
      <w:r>
        <w:t>高耗地</w:t>
      </w:r>
      <w:r>
        <w:rPr>
          <w:rFonts w:hint="eastAsia"/>
        </w:rPr>
        <w:t>，再到</w:t>
      </w:r>
      <w:r>
        <w:t>难恢复的恶性循环，严重削弱滩区防风固沙与水土保持功能，反向加剧黄河泥沙淤积治理难度。</w:t>
      </w:r>
    </w:p>
    <w:p w14:paraId="2EA55807">
      <w:pPr>
        <w:tabs>
          <w:tab w:val="left" w:pos="8568"/>
        </w:tabs>
        <w:ind w:firstLine="476"/>
      </w:pPr>
      <w:r>
        <w:t>这一矛盾的深层根源，在于河南作为农业大省所面临的特殊省情：耕地红线执行严格，滩区居民收入水平偏低，地方政府亟需通过产业升级拉动经济总量，而黄河文化的战略定位又要求生态优先。由此折射出我国经济发展路径的非线性演进</w:t>
      </w:r>
      <w:r>
        <w:rPr>
          <w:rFonts w:hint="eastAsia"/>
        </w:rPr>
        <w:t>，即</w:t>
      </w:r>
      <w:r>
        <w:t>从</w:t>
      </w:r>
      <w:r>
        <w:rPr>
          <w:rFonts w:hint="eastAsia"/>
        </w:rPr>
        <w:t>强调以经济建设为中心的“经济发展</w:t>
      </w:r>
      <w:r>
        <w:t>优先</w:t>
      </w:r>
      <w:r>
        <w:rPr>
          <w:rFonts w:hint="eastAsia"/>
        </w:rPr>
        <w:t>”</w:t>
      </w:r>
      <w:r>
        <w:t>逐步转向生态文明语境下</w:t>
      </w:r>
      <w:r>
        <w:rPr>
          <w:rFonts w:hint="eastAsia"/>
        </w:rPr>
        <w:t>“</w:t>
      </w:r>
      <w:r>
        <w:t>绿水青山就是金山银山</w:t>
      </w:r>
      <w:r>
        <w:rPr>
          <w:rFonts w:hint="eastAsia"/>
        </w:rPr>
        <w:t>”</w:t>
      </w:r>
      <w:r>
        <w:t>的价值重构。在习近平生态文明思想与《生态环境法典》逐步完善的背景下，本文聚焦焦作段黄河滩区山药种植所引发的经济</w:t>
      </w:r>
      <w:r>
        <w:rPr>
          <w:rFonts w:hint="eastAsia"/>
        </w:rPr>
        <w:t>与</w:t>
      </w:r>
      <w:r>
        <w:t>生态</w:t>
      </w:r>
      <w:r>
        <w:rPr>
          <w:rFonts w:hint="eastAsia"/>
        </w:rPr>
        <w:t>的矛盾冲突</w:t>
      </w:r>
      <w:r>
        <w:t>，剖析其背后环境法学层面的制度缺失与责任界定难题，探索在不突破耕地红线前提下实现</w:t>
      </w:r>
      <w:r>
        <w:rPr>
          <w:rFonts w:hint="eastAsia"/>
        </w:rPr>
        <w:t>滩区</w:t>
      </w:r>
      <w:r>
        <w:t>居民生计保障与流域生态安全协同共进的法治化路径。</w:t>
      </w:r>
    </w:p>
    <w:p w14:paraId="182EC07D">
      <w:pPr>
        <w:spacing w:beforeAutospacing="1" w:afterAutospacing="1"/>
        <w:ind w:firstLine="476"/>
        <w:sectPr>
          <w:footnotePr>
            <w:numFmt w:val="decimalEnclosedCircleChinese"/>
          </w:footnotePr>
          <w:pgSz w:w="11907" w:h="16840"/>
          <w:pgMar w:top="1701" w:right="1418" w:bottom="1701" w:left="1418" w:header="1247" w:footer="1247" w:gutter="0"/>
          <w:pgNumType w:start="1"/>
          <w:cols w:space="720" w:num="1"/>
        </w:sectPr>
      </w:pPr>
    </w:p>
    <w:p w14:paraId="549B3AE0">
      <w:pPr>
        <w:pStyle w:val="4"/>
        <w:spacing w:before="240" w:after="240"/>
        <w:ind w:left="0"/>
      </w:pPr>
      <w:bookmarkStart w:id="2" w:name="_Toc221393368"/>
      <w:bookmarkStart w:id="3" w:name="_Toc221972839"/>
      <w:r>
        <w:rPr>
          <w:rFonts w:hint="eastAsia"/>
        </w:rPr>
        <w:t>黄河滩区</w:t>
      </w:r>
      <w:bookmarkEnd w:id="2"/>
      <w:r>
        <w:rPr>
          <w:rFonts w:hint="eastAsia"/>
        </w:rPr>
        <w:t>焦作段概况</w:t>
      </w:r>
      <w:bookmarkEnd w:id="3"/>
    </w:p>
    <w:p w14:paraId="622E7771">
      <w:pPr>
        <w:ind w:firstLine="476"/>
      </w:pPr>
      <w:r>
        <w:t>黄河滩区是黄河流域特有的行洪、滞洪与沉沙空间。河南省境内滩区自洛阳孟津延伸至濮阳台前，河道全长约444公里，覆盖6个地级市、19个县（区），涉及自然村1125个、常住人口逾百万，土地总面积约2266平方公里，其中耕地201.35万亩</w:t>
      </w:r>
      <w:r>
        <w:rPr>
          <w:rFonts w:hint="eastAsia"/>
        </w:rPr>
        <w:t>。</w:t>
      </w:r>
      <w:r>
        <w:fldChar w:fldCharType="begin"/>
      </w:r>
      <w:r>
        <w:instrText xml:space="preserve"> </w:instrText>
      </w:r>
      <w:r>
        <w:rPr>
          <w:rFonts w:hint="eastAsia"/>
        </w:rPr>
        <w:instrText xml:space="preserve">REF _Ref221972149 \r \h</w:instrText>
      </w:r>
      <w:r>
        <w:instrText xml:space="preserve">  \* MERGEFORMAT </w:instrText>
      </w:r>
      <w:r>
        <w:fldChar w:fldCharType="separate"/>
      </w:r>
      <w:r>
        <w:rPr>
          <w:vertAlign w:val="superscript"/>
        </w:rPr>
        <w:t>[5]</w:t>
      </w:r>
      <w:r>
        <w:fldChar w:fldCharType="end"/>
      </w:r>
      <w:r>
        <w:t>焦作段地处黄河下游核心区域，土壤富含黄河泥沙携带的矿物质，光照充足，适宜铁棍山药、怀山药、地黄等特色中药材生长。</w:t>
      </w:r>
      <w:r>
        <w:rPr>
          <w:rFonts w:hint="eastAsia"/>
        </w:rPr>
        <w:t>这些经济作物不仅是当地农民的重要经济来源，也是国家中药材供应链的重要环节。</w:t>
      </w:r>
    </w:p>
    <w:p w14:paraId="2BA9229D">
      <w:pPr>
        <w:ind w:firstLine="476"/>
      </w:pPr>
      <w:r>
        <w:t>然而，这一资源禀赋亦</w:t>
      </w:r>
      <w:r>
        <w:rPr>
          <w:rFonts w:hint="eastAsia"/>
        </w:rPr>
        <w:t>造成当地特有的滩区经济发展同环境保护之间的矛盾</w:t>
      </w:r>
      <w:r>
        <w:t>。滩区土地开发长期受行洪安全严格限制，开发权高度稀缺</w:t>
      </w:r>
      <w:r>
        <w:rPr>
          <w:rFonts w:hint="eastAsia"/>
        </w:rPr>
        <w:t>。黄河滩区土地资源的“稀缺性”造就了其特殊的经济行为模式，</w:t>
      </w:r>
      <w:r>
        <w:t>催生</w:t>
      </w:r>
      <w:r>
        <w:rPr>
          <w:rFonts w:hint="eastAsia"/>
        </w:rPr>
        <w:t>“</w:t>
      </w:r>
      <w:r>
        <w:t>单位土地产出最大化</w:t>
      </w:r>
      <w:r>
        <w:rPr>
          <w:rFonts w:hint="eastAsia"/>
        </w:rPr>
        <w:t>”</w:t>
      </w:r>
      <w:r>
        <w:t>的经济理性。农户为在有限耕地上获取更高收益，普遍采用高强度耕作模式</w:t>
      </w:r>
      <w:r>
        <w:rPr>
          <w:rFonts w:hint="eastAsia"/>
        </w:rPr>
        <w:t>。过度开发土地肥力，导致土壤养分的极度消耗和结构破坏。山药、地黄等作物对土壤肥力需求极高，根系发达，单季吸收氮磷钾总量达纯氮</w:t>
      </w:r>
      <w:r>
        <w:t>15-20</w:t>
      </w:r>
      <w:r>
        <w:rPr>
          <w:rFonts w:hint="eastAsia"/>
        </w:rPr>
        <w:t>公斤</w:t>
      </w:r>
      <w:r>
        <w:t>/</w:t>
      </w:r>
      <w:r>
        <w:rPr>
          <w:rFonts w:hint="eastAsia"/>
        </w:rPr>
        <w:t>亩，有机质消耗率高达</w:t>
      </w:r>
      <w:r>
        <w:t>25%</w:t>
      </w:r>
      <w:r>
        <w:rPr>
          <w:rFonts w:hint="eastAsia"/>
        </w:rPr>
        <w:t>，土壤恢复周期需</w:t>
      </w:r>
      <w:r>
        <w:t>3-5</w:t>
      </w:r>
      <w:r>
        <w:rPr>
          <w:rFonts w:hint="eastAsia"/>
        </w:rPr>
        <w:t>年。若不间断种植，将导致土壤板结、有机质下降</w:t>
      </w:r>
      <w:r>
        <w:t>20%</w:t>
      </w:r>
      <w:r>
        <w:rPr>
          <w:rFonts w:hint="eastAsia"/>
        </w:rPr>
        <w:t>以上，防风固沙能力减弱</w:t>
      </w:r>
      <w:r>
        <w:t>30%</w:t>
      </w:r>
      <w:r>
        <w:rPr>
          <w:rFonts w:hint="eastAsia"/>
        </w:rPr>
        <w:t>，</w:t>
      </w:r>
      <w:r>
        <w:t>水土流失风险显著上升。短期经济收益与长期生态损耗之间的张力，由此成为滩区可持续发展的核心困境。</w:t>
      </w:r>
    </w:p>
    <w:p w14:paraId="12A19E7B">
      <w:pPr>
        <w:pStyle w:val="5"/>
        <w:spacing w:before="240" w:after="240"/>
      </w:pPr>
      <w:bookmarkStart w:id="4" w:name="_Toc221972840"/>
      <w:r>
        <w:rPr>
          <w:rFonts w:hint="eastAsia"/>
        </w:rPr>
        <w:t>焦作段滩区的特有背景</w:t>
      </w:r>
      <w:bookmarkEnd w:id="4"/>
    </w:p>
    <w:p w14:paraId="5D49860F">
      <w:pPr>
        <w:ind w:firstLine="476"/>
      </w:pPr>
      <w:r>
        <w:rPr>
          <w:rFonts w:hint="eastAsia"/>
        </w:rPr>
        <w:t>焦作段黄河滩区作为黄河中下游重要的行洪、滞洪和沉沙区域，在自然地理上具有独特的双重属性：一方面，它是黄河调节泥沙、保护下游河道的关键“闸阀”，承担着行洪安全的重任</w:t>
      </w:r>
      <w:r>
        <w:fldChar w:fldCharType="begin"/>
      </w:r>
      <w:r>
        <w:instrText xml:space="preserve"> </w:instrText>
      </w:r>
      <w:r>
        <w:rPr>
          <w:rFonts w:hint="eastAsia"/>
        </w:rPr>
        <w:instrText xml:space="preserve">REF _Ref221972169 \r \h</w:instrText>
      </w:r>
      <w:r>
        <w:instrText xml:space="preserve">  \* MERGEFORMAT </w:instrText>
      </w:r>
      <w:r>
        <w:fldChar w:fldCharType="separate"/>
      </w:r>
      <w:r>
        <w:rPr>
          <w:vertAlign w:val="superscript"/>
        </w:rPr>
        <w:t>[6]</w:t>
      </w:r>
      <w:r>
        <w:fldChar w:fldCharType="end"/>
      </w:r>
      <w:r>
        <w:rPr>
          <w:rFonts w:hint="eastAsia"/>
        </w:rPr>
        <w:t>；另一方面，它又是极其肥沃的农耕区，承载着沿岸居民的生计需求。</w:t>
      </w:r>
      <w:r>
        <w:fldChar w:fldCharType="begin"/>
      </w:r>
      <w:r>
        <w:instrText xml:space="preserve"> </w:instrText>
      </w:r>
      <w:r>
        <w:rPr>
          <w:rFonts w:hint="eastAsia"/>
        </w:rPr>
        <w:instrText xml:space="preserve">REF _Ref221972193 \r \h</w:instrText>
      </w:r>
      <w:r>
        <w:instrText xml:space="preserve">  \* MERGEFORMAT </w:instrText>
      </w:r>
      <w:r>
        <w:fldChar w:fldCharType="separate"/>
      </w:r>
      <w:r>
        <w:rPr>
          <w:vertAlign w:val="superscript"/>
        </w:rPr>
        <w:t>[7]</w:t>
      </w:r>
      <w:r>
        <w:fldChar w:fldCharType="end"/>
      </w:r>
      <w:r>
        <w:rPr>
          <w:rFonts w:hint="eastAsia"/>
        </w:rPr>
        <w:t>历史上，焦作段滩区黄河决口频繁、洪涝灾害频发。在新中国成立以来，随着黄河小浪底水库等大型水利枢纽工程的建成投运，黄河下游的水沙条件发生了显著变化，滩区的沉沙速度明显放缓，行洪安全得到了极大的保障。然而，这一变化也带来了新的生态风险：由于泥沙补给减少，滩区地表水位下降，土壤水分流失加剧，土壤盐碱化和风蚀问题逐渐显现。加之近年来的极端天气频发，黄河汛期的水土流失和泥沙淤积问题再次成为焦作段滩区不可忽视的安全隐患。</w:t>
      </w:r>
    </w:p>
    <w:p w14:paraId="68A8E22F">
      <w:pPr>
        <w:ind w:firstLine="476"/>
      </w:pPr>
      <w:r>
        <w:rPr>
          <w:rFonts w:hint="eastAsia"/>
        </w:rPr>
        <w:t>在经济发展方面，焦作段滩区的居民长期以来面临着“耕地不足与人口过多”的矛盾。尽管滩区土地肥沃，但由于行洪安全的限制，政府对滩区土地的开发持审慎态度，导致滩区土地开发潜力受限。</w:t>
      </w:r>
      <w:r>
        <w:fldChar w:fldCharType="begin"/>
      </w:r>
      <w:r>
        <w:instrText xml:space="preserve"> </w:instrText>
      </w:r>
      <w:r>
        <w:rPr>
          <w:rFonts w:hint="eastAsia"/>
        </w:rPr>
        <w:instrText xml:space="preserve">REF _Ref221972223 \r \h</w:instrText>
      </w:r>
      <w:r>
        <w:instrText xml:space="preserve">  \* MERGEFORMAT </w:instrText>
      </w:r>
      <w:r>
        <w:fldChar w:fldCharType="separate"/>
      </w:r>
      <w:r>
        <w:rPr>
          <w:vertAlign w:val="superscript"/>
        </w:rPr>
        <w:t>[8]</w:t>
      </w:r>
      <w:r>
        <w:fldChar w:fldCharType="end"/>
      </w:r>
      <w:r>
        <w:rPr>
          <w:rFonts w:hint="eastAsia"/>
        </w:rPr>
        <w:t>在此背景下，黄河滩区的农业开发主要依赖于“高投入、高强度”的种植模式。山药作为滩区的支柱产业之一，其生长周期长、劳动强度大，且对土地的要求极高。这导致了大量的农田土地被长期占用，农田休耕率低，无疑为后续的生态环境恶化埋下了隐患。</w:t>
      </w:r>
    </w:p>
    <w:p w14:paraId="31FA2521">
      <w:pPr>
        <w:pStyle w:val="5"/>
        <w:spacing w:before="240" w:after="240"/>
      </w:pPr>
      <w:bookmarkStart w:id="5" w:name="_Toc221972841"/>
      <w:r>
        <w:rPr>
          <w:rFonts w:hint="eastAsia"/>
        </w:rPr>
        <w:t>滩区经济生态发展问题</w:t>
      </w:r>
      <w:bookmarkEnd w:id="5"/>
    </w:p>
    <w:p w14:paraId="646F26B9">
      <w:pPr>
        <w:ind w:firstLine="476"/>
      </w:pPr>
      <w:r>
        <w:t>滩区环境问题</w:t>
      </w:r>
      <w:r>
        <w:rPr>
          <w:rFonts w:hint="eastAsia"/>
        </w:rPr>
        <w:t>不仅是自然灾害的结果</w:t>
      </w:r>
      <w:r>
        <w:t>，</w:t>
      </w:r>
      <w:r>
        <w:rPr>
          <w:rFonts w:hint="eastAsia"/>
        </w:rPr>
        <w:t>更</w:t>
      </w:r>
      <w:r>
        <w:t>呈现</w:t>
      </w:r>
      <w:r>
        <w:rPr>
          <w:rFonts w:hint="eastAsia"/>
        </w:rPr>
        <w:t>出</w:t>
      </w:r>
      <w:r>
        <w:t>人为干预主导的系统性退化特征。</w:t>
      </w:r>
      <w:r>
        <w:rPr>
          <w:rFonts w:hint="eastAsia"/>
        </w:rPr>
        <w:t>自然灾害层面，新中国成立以来汛期灾害频发，凸显水土流失、泥沙淤积现实危险。</w:t>
      </w:r>
      <w:r>
        <w:t>1958</w:t>
      </w:r>
      <w:r>
        <w:rPr>
          <w:rFonts w:hint="eastAsia"/>
        </w:rPr>
        <w:t>年焦作段决口，泥沙淤高</w:t>
      </w:r>
      <w:r>
        <w:t>7</w:t>
      </w:r>
      <w:r>
        <w:rPr>
          <w:rFonts w:hint="eastAsia"/>
        </w:rPr>
        <w:t>米，淹武陟</w:t>
      </w:r>
      <w:r>
        <w:t>10</w:t>
      </w:r>
      <w:r>
        <w:rPr>
          <w:rFonts w:hint="eastAsia"/>
        </w:rPr>
        <w:t>万亩农田；</w:t>
      </w:r>
      <w:r>
        <w:t>1996</w:t>
      </w:r>
      <w:r>
        <w:rPr>
          <w:rFonts w:hint="eastAsia"/>
        </w:rPr>
        <w:t>年特大洪水，滩区泥沙量</w:t>
      </w:r>
      <w:r>
        <w:t>2</w:t>
      </w:r>
      <w:r>
        <w:rPr>
          <w:rFonts w:hint="eastAsia"/>
        </w:rPr>
        <w:t>亿吨，堤防漫溃</w:t>
      </w:r>
      <w:r>
        <w:t>3</w:t>
      </w:r>
      <w:r>
        <w:rPr>
          <w:rFonts w:hint="eastAsia"/>
        </w:rPr>
        <w:t>处；</w:t>
      </w:r>
      <w:r>
        <w:t>2023</w:t>
      </w:r>
      <w:r>
        <w:rPr>
          <w:rFonts w:hint="eastAsia"/>
        </w:rPr>
        <w:t>年</w:t>
      </w:r>
      <w:r>
        <w:t>“23·7”</w:t>
      </w:r>
      <w:r>
        <w:rPr>
          <w:rFonts w:hint="eastAsia"/>
        </w:rPr>
        <w:t>暴雨，温县滩区流失土壤</w:t>
      </w:r>
      <w:r>
        <w:t>80</w:t>
      </w:r>
      <w:r>
        <w:rPr>
          <w:rFonts w:hint="eastAsia"/>
        </w:rPr>
        <w:t>万吨，博爱县河岸塌方</w:t>
      </w:r>
      <w:r>
        <w:t>500</w:t>
      </w:r>
      <w:r>
        <w:rPr>
          <w:rFonts w:hint="eastAsia"/>
        </w:rPr>
        <w:t>米，直接经济损失</w:t>
      </w:r>
      <w:r>
        <w:t>1.2</w:t>
      </w:r>
      <w:r>
        <w:rPr>
          <w:rFonts w:hint="eastAsia"/>
        </w:rPr>
        <w:t>亿元。</w:t>
      </w:r>
    </w:p>
    <w:p w14:paraId="172D68D7">
      <w:pPr>
        <w:ind w:firstLine="476"/>
      </w:pPr>
      <w:r>
        <w:rPr>
          <w:rFonts w:hint="eastAsia"/>
        </w:rPr>
        <w:t>其次，滩区土地的稀缺性导致了资源的“争夺战”。在滩区经济发展过程中，非法侵占、偷盗泥沙等行为时有发生。例如，河南省曾发生过“黑砖窑截断黄河大坝，防汛工程被迫延期”的严重事件，严重威胁了黄河的防洪安全。</w:t>
      </w:r>
      <w:r>
        <w:fldChar w:fldCharType="begin"/>
      </w:r>
      <w:r>
        <w:instrText xml:space="preserve"> </w:instrText>
      </w:r>
      <w:r>
        <w:rPr>
          <w:rFonts w:hint="eastAsia"/>
        </w:rPr>
        <w:instrText xml:space="preserve">REF _Ref221972239 \r \h</w:instrText>
      </w:r>
      <w:r>
        <w:instrText xml:space="preserve">  \* MERGEFORMAT </w:instrText>
      </w:r>
      <w:r>
        <w:fldChar w:fldCharType="separate"/>
      </w:r>
      <w:r>
        <w:rPr>
          <w:vertAlign w:val="superscript"/>
        </w:rPr>
        <w:t>[9]</w:t>
      </w:r>
      <w:r>
        <w:fldChar w:fldCharType="end"/>
      </w:r>
      <w:r>
        <w:rPr>
          <w:rFonts w:hint="eastAsia"/>
        </w:rPr>
        <w:t>黄河滩区的非法采砂和倾倒垃圾等生态破坏行为亦是极其严重。滩区周边经常发生非法捕捞、电鱼等破坏水生生态的行为。</w:t>
      </w:r>
      <w:r>
        <w:fldChar w:fldCharType="begin"/>
      </w:r>
      <w:r>
        <w:instrText xml:space="preserve"> </w:instrText>
      </w:r>
      <w:r>
        <w:rPr>
          <w:rFonts w:hint="eastAsia"/>
        </w:rPr>
        <w:instrText xml:space="preserve">REF _Ref221972246 \r \h</w:instrText>
      </w:r>
      <w:r>
        <w:instrText xml:space="preserve">  \* MERGEFORMAT </w:instrText>
      </w:r>
      <w:r>
        <w:fldChar w:fldCharType="separate"/>
      </w:r>
      <w:r>
        <w:rPr>
          <w:vertAlign w:val="superscript"/>
        </w:rPr>
        <w:t>[10]</w:t>
      </w:r>
      <w:r>
        <w:fldChar w:fldCharType="end"/>
      </w:r>
      <w:r>
        <w:rPr>
          <w:rFonts w:hint="eastAsia"/>
        </w:rPr>
        <w:t>滩区周边的生活垃圾和工业废弃物倾倒问题也日益突出。</w:t>
      </w:r>
      <w:r>
        <w:fldChar w:fldCharType="begin"/>
      </w:r>
      <w:r>
        <w:instrText xml:space="preserve"> </w:instrText>
      </w:r>
      <w:r>
        <w:rPr>
          <w:rFonts w:hint="eastAsia"/>
        </w:rPr>
        <w:instrText xml:space="preserve">REF _Ref221972263 \r \h</w:instrText>
      </w:r>
      <w:r>
        <w:instrText xml:space="preserve">  \* MERGEFORMAT </w:instrText>
      </w:r>
      <w:r>
        <w:fldChar w:fldCharType="separate"/>
      </w:r>
      <w:r>
        <w:rPr>
          <w:vertAlign w:val="superscript"/>
        </w:rPr>
        <w:t>[11]</w:t>
      </w:r>
      <w:r>
        <w:fldChar w:fldCharType="end"/>
      </w:r>
      <w:r>
        <w:t>这些行为虽表现形式各异，但共同指向监管缺位与生态价值认知不足的制度短板。</w:t>
      </w:r>
    </w:p>
    <w:p w14:paraId="441BCD95">
      <w:pPr>
        <w:ind w:firstLine="476"/>
      </w:pPr>
      <w:r>
        <w:rPr>
          <w:rFonts w:hint="eastAsia"/>
        </w:rPr>
        <w:t>最后，滩区的农业开发模式也存在严重问题。虽然焦作段滩区种植山药、地黄等高价值经济作物，但落后的种植方式忽视了水土保持。</w:t>
      </w:r>
      <w:r>
        <w:t>尤为值得警惕的是，部分区域为追求短期收益盲目扩大种植规模，出现</w:t>
      </w:r>
      <w:r>
        <w:rPr>
          <w:rFonts w:hint="eastAsia"/>
        </w:rPr>
        <w:t>“</w:t>
      </w:r>
      <w:r>
        <w:t>盲目垦殖、制污排污</w:t>
      </w:r>
      <w:r>
        <w:rPr>
          <w:rFonts w:hint="eastAsia"/>
        </w:rPr>
        <w:t>”</w:t>
      </w:r>
      <w:r>
        <w:t>等违规现象，进一步压缩滩区生态缓冲空间。当经济行为的负外部性持续累积，滩区作为黄河“生态闸阀”的功能将面临系统性失灵风险。</w:t>
      </w:r>
    </w:p>
    <w:p w14:paraId="79AA9FEC">
      <w:pPr>
        <w:pStyle w:val="5"/>
        <w:spacing w:before="240" w:after="240"/>
      </w:pPr>
      <w:bookmarkStart w:id="6" w:name="_Toc221393371"/>
      <w:bookmarkStart w:id="7" w:name="_Toc221972842"/>
      <w:r>
        <w:rPr>
          <w:rFonts w:hint="eastAsia"/>
        </w:rPr>
        <w:t>国家政策支持与法学支撑</w:t>
      </w:r>
      <w:bookmarkEnd w:id="6"/>
      <w:bookmarkEnd w:id="7"/>
    </w:p>
    <w:p w14:paraId="21C615ED">
      <w:pPr>
        <w:tabs>
          <w:tab w:val="clear" w:pos="8640"/>
        </w:tabs>
        <w:ind w:firstLine="476"/>
      </w:pPr>
      <w:r>
        <w:t>面对上述挑战，国家层面逐步构建起以《中华人民共和国黄河保护法》（2021）为核心的法治框架。该法第28条确立滩区分区管理制度，明确临河湿地禁止开发，中远滩区实施渐进式建设管控；河南省于2024年12月出台实施细则，强调发展生态畜牧与中药材绿色种植。</w:t>
      </w:r>
      <w:r>
        <w:fldChar w:fldCharType="begin"/>
      </w:r>
      <w:r>
        <w:instrText xml:space="preserve"> REF _Ref221972273 \r \h  \* MERGEFORMAT </w:instrText>
      </w:r>
      <w:r>
        <w:fldChar w:fldCharType="separate"/>
      </w:r>
      <w:r>
        <w:rPr>
          <w:vertAlign w:val="superscript"/>
        </w:rPr>
        <w:t>[12]</w:t>
      </w:r>
      <w:r>
        <w:fldChar w:fldCharType="end"/>
      </w:r>
      <w:r>
        <w:t>焦作市亦于2025年10月1日起施行《四大怀药保护和发展条例》，设立专项基金对标准化种植每亩补贴800–1000元，并由农业农村部门主导土壤健康动态监测，试图通过经济激励引导生产方式转型。</w:t>
      </w:r>
    </w:p>
    <w:p w14:paraId="4743DBDF">
      <w:pPr>
        <w:ind w:firstLine="476"/>
      </w:pPr>
      <w:r>
        <w:t>在政策层面，</w:t>
      </w:r>
      <w:r>
        <w:rPr>
          <w:rFonts w:hint="eastAsia"/>
        </w:rPr>
        <w:t>国家高度重视黄河滩区的生态治理与经济发展。</w:t>
      </w:r>
      <w:r>
        <w:t>《黄河流域生态保护和高质量发展规划纲要》（2021）将滩区治理纳入</w:t>
      </w:r>
      <w:r>
        <w:rPr>
          <w:rFonts w:hint="eastAsia"/>
        </w:rPr>
        <w:t>“</w:t>
      </w:r>
      <w:r>
        <w:t>双碳</w:t>
      </w:r>
      <w:r>
        <w:rPr>
          <w:rFonts w:hint="eastAsia"/>
        </w:rPr>
        <w:t>”</w:t>
      </w:r>
      <w:r>
        <w:t>目标体系，提出</w:t>
      </w:r>
      <w:r>
        <w:rPr>
          <w:rFonts w:hint="eastAsia"/>
        </w:rPr>
        <w:t>“</w:t>
      </w:r>
      <w:r>
        <w:t>分级分层、分区差别化</w:t>
      </w:r>
      <w:r>
        <w:rPr>
          <w:rFonts w:hint="eastAsia"/>
        </w:rPr>
        <w:t>”</w:t>
      </w:r>
      <w:r>
        <w:t>治理思路</w:t>
      </w:r>
      <w:r>
        <w:rPr>
          <w:rFonts w:hint="eastAsia"/>
        </w:rPr>
        <w:t>。</w:t>
      </w:r>
      <w:r>
        <w:fldChar w:fldCharType="begin"/>
      </w:r>
      <w:r>
        <w:instrText xml:space="preserve"> </w:instrText>
      </w:r>
      <w:r>
        <w:rPr>
          <w:rFonts w:hint="eastAsia"/>
        </w:rPr>
        <w:instrText xml:space="preserve">REF _Ref221972306 \r \h</w:instrText>
      </w:r>
      <w:r>
        <w:instrText xml:space="preserve">  \* MERGEFORMAT </w:instrText>
      </w:r>
      <w:r>
        <w:fldChar w:fldCharType="separate"/>
      </w:r>
      <w:r>
        <w:rPr>
          <w:vertAlign w:val="superscript"/>
        </w:rPr>
        <w:t>[13]</w:t>
      </w:r>
      <w:r>
        <w:fldChar w:fldCharType="end"/>
      </w:r>
      <w:r>
        <w:t>河南省亦探索通过发展高效益养殖业与水产业缓解耕地压力</w:t>
      </w:r>
      <w:r>
        <w:rPr>
          <w:rFonts w:hint="eastAsia"/>
        </w:rPr>
        <w:t>。</w:t>
      </w:r>
      <w:r>
        <w:fldChar w:fldCharType="begin"/>
      </w:r>
      <w:r>
        <w:instrText xml:space="preserve"> </w:instrText>
      </w:r>
      <w:r>
        <w:rPr>
          <w:rFonts w:hint="eastAsia"/>
        </w:rPr>
        <w:instrText xml:space="preserve">REF _Ref221972315 \r \h</w:instrText>
      </w:r>
      <w:r>
        <w:instrText xml:space="preserve">  \* MERGEFORMAT </w:instrText>
      </w:r>
      <w:r>
        <w:fldChar w:fldCharType="separate"/>
      </w:r>
      <w:r>
        <w:rPr>
          <w:vertAlign w:val="superscript"/>
        </w:rPr>
        <w:t>[14]</w:t>
      </w:r>
      <w:r>
        <w:fldChar w:fldCharType="end"/>
      </w:r>
      <w:r>
        <w:t>与此同时，习近平生态文明思想所倡导的“山水林田湖草沙一体化保护”理念，经由《生态环境法典》污染防控编的细化规定，转化为对滩区开发的刚性生态红线约</w:t>
      </w:r>
      <w:r>
        <w:rPr>
          <w:rFonts w:hint="eastAsia"/>
        </w:rPr>
        <w:t>束。</w:t>
      </w:r>
      <w:r>
        <w:fldChar w:fldCharType="begin"/>
      </w:r>
      <w:r>
        <w:instrText xml:space="preserve"> </w:instrText>
      </w:r>
      <w:r>
        <w:rPr>
          <w:rFonts w:hint="eastAsia"/>
        </w:rPr>
        <w:instrText xml:space="preserve">REF _Ref221972320 \r \h</w:instrText>
      </w:r>
      <w:r>
        <w:instrText xml:space="preserve">  \* MERGEFORMAT </w:instrText>
      </w:r>
      <w:r>
        <w:fldChar w:fldCharType="separate"/>
      </w:r>
      <w:r>
        <w:rPr>
          <w:vertAlign w:val="superscript"/>
        </w:rPr>
        <w:t>[15]</w:t>
      </w:r>
      <w:r>
        <w:fldChar w:fldCharType="end"/>
      </w:r>
    </w:p>
    <w:p w14:paraId="1156CB63">
      <w:pPr>
        <w:ind w:firstLine="476"/>
      </w:pPr>
      <w:r>
        <w:t>针对滩区居民生计保障，生态移民与产业扶持政策协同推进。研究表明，</w:t>
      </w:r>
      <w:r>
        <w:rPr>
          <w:rFonts w:hint="eastAsia"/>
        </w:rPr>
        <w:t>在迁建政策中，地方政府采用了“十联户、百联户代表机制”等创新模式，可有效确保迁建过程中的公平公正。</w:t>
      </w:r>
      <w:r>
        <w:fldChar w:fldCharType="begin"/>
      </w:r>
      <w:r>
        <w:instrText xml:space="preserve"> </w:instrText>
      </w:r>
      <w:r>
        <w:rPr>
          <w:rFonts w:hint="eastAsia"/>
        </w:rPr>
        <w:instrText xml:space="preserve">REF _Ref221972326 \r \h</w:instrText>
      </w:r>
      <w:r>
        <w:instrText xml:space="preserve">  \* MERGEFORMAT </w:instrText>
      </w:r>
      <w:r>
        <w:fldChar w:fldCharType="separate"/>
      </w:r>
      <w:r>
        <w:rPr>
          <w:vertAlign w:val="superscript"/>
        </w:rPr>
        <w:t>[16]</w:t>
      </w:r>
      <w:r>
        <w:fldChar w:fldCharType="end"/>
      </w:r>
      <w:r>
        <w:rPr>
          <w:rFonts w:hint="eastAsia"/>
        </w:rPr>
        <w:t>此外，针对滩区的贫困问题，国家也通过产业扶持、就业帮扶等措施，帮助滩区群众实现了“保生存”向“谋幸福”的转变。</w:t>
      </w:r>
      <w:r>
        <w:t>然而，法律条文与地方实践之间仍存在张力：如何在耕地红线刚性约束下平衡产业扶持与生态修复，如何界定高强度农业开发的环境法律责任，仍是亟待环境法学深入回应的命题。</w:t>
      </w:r>
    </w:p>
    <w:p w14:paraId="6C329A11">
      <w:pPr>
        <w:pStyle w:val="4"/>
        <w:spacing w:before="240" w:after="240"/>
        <w:ind w:left="0"/>
      </w:pPr>
      <w:bookmarkStart w:id="8" w:name="_Toc221972843"/>
      <w:r>
        <w:rPr>
          <w:rFonts w:hint="eastAsia"/>
        </w:rPr>
        <w:t>滩区农业经济与环境破坏</w:t>
      </w:r>
      <w:bookmarkEnd w:id="8"/>
    </w:p>
    <w:p w14:paraId="6C4D802D">
      <w:pPr>
        <w:ind w:firstLine="476"/>
      </w:pPr>
      <w:r>
        <w:rPr>
          <w:rFonts w:hint="eastAsia"/>
        </w:rPr>
        <w:t>焦作段黄河滩区的农业经济发展模式，虽然在短期内为当地农民带来了可观的经济收益，但这种高强度、单一作物的种植模式背后隐藏着深层次的环境危机。滩区农业经济发展与生态环境保护之间的矛盾，集中体现在对自然资源的掠夺式利用上，尤其是对黄河泥沙土地的破坏。黄河滩区作为我国特有的地理风貌，其经济发展与生态风险长期并存。焦作段滩区的山药等作物种植在为地方财政贡献税收的同时，也面临着生态脆弱性与环境承载力的巨大挑战。</w:t>
      </w:r>
    </w:p>
    <w:p w14:paraId="743B1DE1">
      <w:pPr>
        <w:pStyle w:val="5"/>
        <w:spacing w:before="240" w:after="240"/>
      </w:pPr>
      <w:bookmarkStart w:id="9" w:name="_Toc221972844"/>
      <w:r>
        <w:t>高强度耕作对土壤结构的系统性破坏</w:t>
      </w:r>
      <w:bookmarkEnd w:id="9"/>
    </w:p>
    <w:p w14:paraId="1AF6315C">
      <w:pPr>
        <w:ind w:firstLine="476"/>
      </w:pPr>
      <w:r>
        <w:t>山药作为焦作滩区的传统优势作物，其药食同源特性赋予了较高的市场溢价，</w:t>
      </w:r>
      <w:r>
        <w:rPr>
          <w:rFonts w:hint="eastAsia"/>
        </w:rPr>
        <w:t>导致焦作滩区的山药种植规模远超其他地区。</w:t>
      </w:r>
      <w:r>
        <w:t>亦催生了以“深沟开沟”为典型特征的高强度耕作模式。为满足块茎垂直生长需求，农户普遍挖掘深度</w:t>
      </w:r>
      <w:r>
        <w:rPr>
          <w:rFonts w:hint="eastAsia"/>
        </w:rPr>
        <w:t>较高的</w:t>
      </w:r>
      <w:r>
        <w:t>栽培沟，此举虽短期提升产量，却对滩区特有的冲积砂壤土结构造成不可逆损伤</w:t>
      </w:r>
      <w:r>
        <w:rPr>
          <w:rFonts w:hint="eastAsia"/>
        </w:rPr>
        <w:t>，使得</w:t>
      </w:r>
      <w:r>
        <w:t>土壤层次被打乱，团粒结构解体，孔隙度下降，持水保肥能力显著弱化</w:t>
      </w:r>
      <w:r>
        <w:rPr>
          <w:rFonts w:hint="eastAsia"/>
        </w:rPr>
        <w:t>。</w:t>
      </w:r>
      <w:r>
        <w:fldChar w:fldCharType="begin"/>
      </w:r>
      <w:r>
        <w:instrText xml:space="preserve"> </w:instrText>
      </w:r>
      <w:r>
        <w:rPr>
          <w:rFonts w:hint="eastAsia"/>
        </w:rPr>
        <w:instrText xml:space="preserve">REF _Ref221972337 \r \h</w:instrText>
      </w:r>
      <w:r>
        <w:instrText xml:space="preserve">  \* MERGEFORMAT </w:instrText>
      </w:r>
      <w:r>
        <w:fldChar w:fldCharType="separate"/>
      </w:r>
      <w:r>
        <w:rPr>
          <w:vertAlign w:val="superscript"/>
        </w:rPr>
        <w:t>[17]</w:t>
      </w:r>
      <w:r>
        <w:fldChar w:fldCharType="end"/>
      </w:r>
      <w:r>
        <w:t>值得关注的是，此类物理扰动与滩区“沉沙土地”的自然属性形成根本冲突：黄河泥沙沉积形成的疏松土体本具良好渗透性与缓冲功能，而持续深沟作业导致土体压实、渗透性衰减，削弱了滩区作为行洪滞洪空间的生态本底。</w:t>
      </w:r>
    </w:p>
    <w:p w14:paraId="71D04A32">
      <w:pPr>
        <w:ind w:firstLine="476"/>
      </w:pPr>
      <w:r>
        <w:t>连作障碍进一步加剧了土壤退化进程。随着种植年限延长，土壤中镰刀菌等病原微生物富集，块茎腐烂率上升，部分农户为维持产量转而依赖高浓度化肥与违禁农药。此类投入品的过量施用不仅造成土壤重金属累积、pH值失衡，更引发生物多样性塌陷，微生物群落功能退化</w:t>
      </w:r>
      <w:r>
        <w:rPr>
          <w:rFonts w:hint="eastAsia"/>
        </w:rPr>
        <w:t>。</w:t>
      </w:r>
    </w:p>
    <w:p w14:paraId="5EBB4DB5">
      <w:pPr>
        <w:ind w:firstLine="476"/>
      </w:pPr>
      <w:r>
        <w:t>当土壤有机质含量持续低于临界阈值，其水土保持能力随之衰减，地表径流挟带泥沙入河量增加，反向加剧黄河下游泥沙淤积与河床抬升风险，形成“高产出</w:t>
      </w:r>
      <w:r>
        <w:rPr>
          <w:rFonts w:hint="eastAsia"/>
        </w:rPr>
        <w:t>、</w:t>
      </w:r>
      <w:r>
        <w:t>高耗地</w:t>
      </w:r>
      <w:r>
        <w:rPr>
          <w:rFonts w:hint="eastAsia"/>
        </w:rPr>
        <w:t>、</w:t>
      </w:r>
      <w:r>
        <w:t>高输沙”的恶性循环。</w:t>
      </w:r>
      <w:r>
        <w:rPr>
          <w:rFonts w:hint="eastAsia"/>
        </w:rPr>
        <w:t>这种种植模式的后果是显而易见的。随着土壤肥力的枯竭，山药的产量不但没有得到可持续的保障，反而出现了产量波动大的现象。土壤的持续退化导致了地表水土保持能力的下降，黄河泥沙的淤积速度加快，这不仅威胁到黄河的行洪安全，也削弱了滩区的生态承载能力。</w:t>
      </w:r>
      <w:r>
        <w:fldChar w:fldCharType="begin"/>
      </w:r>
      <w:r>
        <w:instrText xml:space="preserve"> </w:instrText>
      </w:r>
      <w:r>
        <w:rPr>
          <w:rFonts w:hint="eastAsia"/>
        </w:rPr>
        <w:instrText xml:space="preserve">REF _Ref221972346 \r \h</w:instrText>
      </w:r>
      <w:r>
        <w:instrText xml:space="preserve">  \* MERGEFORMAT </w:instrText>
      </w:r>
      <w:r>
        <w:fldChar w:fldCharType="separate"/>
      </w:r>
      <w:r>
        <w:rPr>
          <w:vertAlign w:val="superscript"/>
        </w:rPr>
        <w:t>[18]</w:t>
      </w:r>
      <w:r>
        <w:fldChar w:fldCharType="end"/>
      </w:r>
    </w:p>
    <w:p w14:paraId="52A1082C">
      <w:pPr>
        <w:pStyle w:val="5"/>
        <w:spacing w:before="240" w:after="240"/>
      </w:pPr>
      <w:bookmarkStart w:id="10" w:name="_Toc221972845"/>
      <w:r>
        <w:rPr>
          <w:rFonts w:hint="eastAsia"/>
        </w:rPr>
        <w:t>耕地红线约束下的经济与生态的冲突</w:t>
      </w:r>
      <w:bookmarkEnd w:id="10"/>
    </w:p>
    <w:p w14:paraId="06C35DA6">
      <w:pPr>
        <w:ind w:firstLine="476"/>
      </w:pPr>
      <w:r>
        <w:t>焦作滩区面临的治理困境，深层源于</w:t>
      </w:r>
      <w:r>
        <w:rPr>
          <w:rFonts w:hint="eastAsia"/>
        </w:rPr>
        <w:t>“耕地红线”与“生计需求”</w:t>
      </w:r>
      <w:r>
        <w:t>之间的结构性张力。</w:t>
      </w:r>
      <w:r>
        <w:rPr>
          <w:rFonts w:hint="eastAsia"/>
        </w:rPr>
        <w:t>在国家“耕地红线”政策的约束下，焦作段滩区的耕地总面积虽然庞大，但因行洪安全的限制，实际可利用的耕地面积十分有限。</w:t>
      </w:r>
      <w:r>
        <w:fldChar w:fldCharType="begin"/>
      </w:r>
      <w:r>
        <w:instrText xml:space="preserve"> </w:instrText>
      </w:r>
      <w:r>
        <w:rPr>
          <w:rFonts w:hint="eastAsia"/>
        </w:rPr>
        <w:instrText xml:space="preserve">REF _Ref221972169 \r \h</w:instrText>
      </w:r>
      <w:r>
        <w:instrText xml:space="preserve">  \* MERGEFORMAT </w:instrText>
      </w:r>
      <w:r>
        <w:fldChar w:fldCharType="separate"/>
      </w:r>
      <w:r>
        <w:rPr>
          <w:vertAlign w:val="superscript"/>
        </w:rPr>
        <w:t>[6]</w:t>
      </w:r>
      <w:r>
        <w:fldChar w:fldCharType="end"/>
      </w:r>
      <w:r>
        <w:rPr>
          <w:rFonts w:hint="eastAsia"/>
        </w:rPr>
        <w:t>国家对黄河滩区的开发历来是高度谨慎的，严格限制在滩区的建设和开发，以确保黄河的防洪安全。然而</w:t>
      </w:r>
      <w:r>
        <w:t>在此约束条件下，农户被迫在有限土地上追求单位产出最大化，山药因其亩均收益显著高于粮食作物，自然成为经济理性下的优先选择</w:t>
      </w:r>
      <w:r>
        <w:rPr>
          <w:rFonts w:hint="eastAsia"/>
        </w:rPr>
        <w:t>。</w:t>
      </w:r>
      <w:r>
        <w:fldChar w:fldCharType="begin"/>
      </w:r>
      <w:r>
        <w:instrText xml:space="preserve"> </w:instrText>
      </w:r>
      <w:r>
        <w:rPr>
          <w:rFonts w:hint="eastAsia"/>
        </w:rPr>
        <w:instrText xml:space="preserve">REF _Ref221972378 \r \h</w:instrText>
      </w:r>
      <w:r>
        <w:instrText xml:space="preserve">  \* MERGEFORMAT </w:instrText>
      </w:r>
      <w:r>
        <w:fldChar w:fldCharType="separate"/>
      </w:r>
      <w:r>
        <w:rPr>
          <w:vertAlign w:val="superscript"/>
        </w:rPr>
        <w:t>[20]</w:t>
      </w:r>
      <w:r>
        <w:fldChar w:fldCharType="end"/>
      </w:r>
    </w:p>
    <w:p w14:paraId="0FEC5EBB">
      <w:pPr>
        <w:ind w:firstLine="476"/>
      </w:pPr>
      <w:r>
        <w:t>地方政府为缓解生计压力，亦通过成立“铁棍山药协会”、提供技术推广与财政补贴等方式予以扶持。</w:t>
      </w:r>
      <w:r>
        <w:rPr>
          <w:rFonts w:hint="eastAsia"/>
        </w:rPr>
        <w:t>滩区土地的特殊性决定了其不宜进行大规模的永久性垦殖，</w:t>
      </w:r>
      <w:r>
        <w:t>此类政策本意在于引导产业规范化发展，却在执行中异化为对高强度耕作的隐性激励</w:t>
      </w:r>
      <w:r>
        <w:rPr>
          <w:rFonts w:hint="eastAsia"/>
        </w:rPr>
        <w:t>，</w:t>
      </w:r>
      <w:r>
        <w:t>农民为获取补贴资格，倾向于扩大种植密度、缩短休耕周期，甚至通过整地平整等方式蚕食本应保留的行洪通道。更值得警惕的是，部分基层政府在GDP考核压力下，对滩区违规开垦行为采取</w:t>
      </w:r>
      <w:r>
        <w:rPr>
          <w:rFonts w:hint="eastAsia"/>
        </w:rPr>
        <w:t>“动态执法”等</w:t>
      </w:r>
      <w:r>
        <w:t>默许式监管，导致《防洪法》明令禁止的</w:t>
      </w:r>
      <w:r>
        <w:rPr>
          <w:rFonts w:hint="eastAsia"/>
        </w:rPr>
        <w:t>“</w:t>
      </w:r>
      <w:r>
        <w:t>阻碍行洪的高秆作物种植</w:t>
      </w:r>
      <w:r>
        <w:rPr>
          <w:rFonts w:hint="eastAsia"/>
        </w:rPr>
        <w:t>”</w:t>
      </w:r>
      <w:r>
        <w:t>在山药深沟栽培实践中变相实现</w:t>
      </w:r>
      <w:r>
        <w:rPr>
          <w:rFonts w:hint="eastAsia"/>
        </w:rPr>
        <w:t>，即</w:t>
      </w:r>
      <w:r>
        <w:t>沟垄交错形成的微地形虽非高秆作物，却同样改变地表径流路径，削弱滩区滞洪效能。</w:t>
      </w:r>
    </w:p>
    <w:p w14:paraId="79FAF2F6">
      <w:pPr>
        <w:ind w:firstLine="476"/>
      </w:pPr>
      <w:r>
        <w:t>这一悖论揭示了现行耕地保护制度在特殊生态功能区的适用局限</w:t>
      </w:r>
      <w:r>
        <w:rPr>
          <w:rFonts w:hint="eastAsia"/>
        </w:rPr>
        <w:t>。</w:t>
      </w:r>
      <w:r>
        <w:t>当</w:t>
      </w:r>
      <w:r>
        <w:rPr>
          <w:rFonts w:hint="eastAsia"/>
        </w:rPr>
        <w:t>保护</w:t>
      </w:r>
      <w:r>
        <w:t>耕地与</w:t>
      </w:r>
      <w:r>
        <w:rPr>
          <w:rFonts w:hint="eastAsia"/>
        </w:rPr>
        <w:t>保护</w:t>
      </w:r>
      <w:r>
        <w:t>行洪</w:t>
      </w:r>
      <w:r>
        <w:rPr>
          <w:rFonts w:hint="eastAsia"/>
        </w:rPr>
        <w:t>安全的</w:t>
      </w:r>
      <w:r>
        <w:t>目标发生冲突时，缺乏针对滩区土地多功能属性的差异化管制规则，使得法律条文在</w:t>
      </w:r>
      <w:r>
        <w:rPr>
          <w:rFonts w:hint="eastAsia"/>
        </w:rPr>
        <w:t>法律位阶的</w:t>
      </w:r>
      <w:r>
        <w:t>基层实践中陷入执行即违法、不执行即失职的两难境地。</w:t>
      </w:r>
      <w:r>
        <w:rPr>
          <w:rFonts w:hint="eastAsia"/>
        </w:rPr>
        <w:t>虽然国家层面上对滩区的土地开发有严格限制，但地方政府在经济压力下，往往通过放宽政策或不严格执行政策，导致大量的山药种植占用了本应用于行洪的滩区土地。在耕地红线的约束下，农民被迫在有限的耕地上进行高强度的开发。这种开发模式导致了滩区土地的高强度利用。</w:t>
      </w:r>
    </w:p>
    <w:p w14:paraId="2B47CF10">
      <w:pPr>
        <w:pStyle w:val="5"/>
        <w:spacing w:before="240" w:after="240"/>
      </w:pPr>
      <w:bookmarkStart w:id="11" w:name="_Toc221972846"/>
      <w:r>
        <w:rPr>
          <w:rFonts w:hint="eastAsia"/>
        </w:rPr>
        <w:t>黄河文化地位与治理法治困境</w:t>
      </w:r>
      <w:bookmarkEnd w:id="11"/>
    </w:p>
    <w:p w14:paraId="7CDF70DA">
      <w:pPr>
        <w:ind w:firstLine="476"/>
      </w:pPr>
      <w:r>
        <w:t>黄河作为中华文明的象征载体，</w:t>
      </w:r>
      <w:r>
        <w:rPr>
          <w:rFonts w:hint="eastAsia"/>
        </w:rPr>
        <w:t>其治理历来受到中央政府的高度重视。</w:t>
      </w:r>
      <w:r>
        <w:t>其滩区不仅承担水文调节功能，亦积淀着深厚的农耕文化记忆。焦作山药种植历经数百年传承，已内化为黄河文化的地方性表达，这种文化正当性在一定程度上弱化了对其生态负外部性的社会批判。</w:t>
      </w:r>
      <w:r>
        <w:rPr>
          <w:rFonts w:hint="eastAsia"/>
        </w:rPr>
        <w:t>由此可见，焦作段的山药种植实际上是对黄河自然条件的适应。</w:t>
      </w:r>
      <w:r>
        <w:fldChar w:fldCharType="begin"/>
      </w:r>
      <w:r>
        <w:instrText xml:space="preserve"> </w:instrText>
      </w:r>
      <w:r>
        <w:rPr>
          <w:rFonts w:hint="eastAsia"/>
        </w:rPr>
        <w:instrText xml:space="preserve">REF _Ref221972397 \r \h</w:instrText>
      </w:r>
      <w:r>
        <w:instrText xml:space="preserve">  \* MERGEFORMAT </w:instrText>
      </w:r>
      <w:r>
        <w:fldChar w:fldCharType="separate"/>
      </w:r>
      <w:r>
        <w:rPr>
          <w:vertAlign w:val="superscript"/>
        </w:rPr>
        <w:t>[21]</w:t>
      </w:r>
      <w:r>
        <w:fldChar w:fldCharType="end"/>
      </w:r>
      <w:r>
        <w:t>然而，文化认同不能替代生态理性</w:t>
      </w:r>
      <w:r>
        <w:rPr>
          <w:rFonts w:hint="eastAsia"/>
        </w:rPr>
        <w:t>，</w:t>
      </w:r>
      <w:r>
        <w:t>当传统耕作方式与现代流域治理目标产生冲突时，法律必须在文化传承与生态安全之间划定清晰边界。</w:t>
      </w:r>
      <w:r>
        <w:rPr>
          <w:rFonts w:hint="eastAsia"/>
        </w:rPr>
        <w:t>因此，黄河滩区的治理必须兼顾文化传承与生态保护。</w:t>
      </w:r>
    </w:p>
    <w:p w14:paraId="22F94572">
      <w:pPr>
        <w:ind w:firstLine="476"/>
      </w:pPr>
      <w:r>
        <w:t>《中华人民共和国黄河保护法》第28条虽确立滩区分区管理制度，</w:t>
      </w:r>
      <w:r>
        <w:rPr>
          <w:rFonts w:hint="eastAsia"/>
        </w:rPr>
        <w:t>明确规定黄河滩区的定义及其行洪、滞洪、沉沙的功能。</w:t>
      </w:r>
      <w:r>
        <w:fldChar w:fldCharType="begin"/>
      </w:r>
      <w:r>
        <w:instrText xml:space="preserve"> </w:instrText>
      </w:r>
      <w:r>
        <w:rPr>
          <w:rFonts w:hint="eastAsia"/>
        </w:rPr>
        <w:instrText xml:space="preserve">REF _Ref221972406 \r \h</w:instrText>
      </w:r>
      <w:r>
        <w:instrText xml:space="preserve">  \* MERGEFORMAT </w:instrText>
      </w:r>
      <w:r>
        <w:fldChar w:fldCharType="separate"/>
      </w:r>
      <w:r>
        <w:rPr>
          <w:vertAlign w:val="superscript"/>
        </w:rPr>
        <w:t>[22]</w:t>
      </w:r>
      <w:r>
        <w:fldChar w:fldCharType="end"/>
      </w:r>
      <w:r>
        <w:t>强调</w:t>
      </w:r>
      <w:r>
        <w:rPr>
          <w:rFonts w:hint="eastAsia"/>
        </w:rPr>
        <w:t>“</w:t>
      </w:r>
      <w:r>
        <w:t>临河湿地禁止开发</w:t>
      </w:r>
      <w:r>
        <w:rPr>
          <w:rFonts w:hint="eastAsia"/>
        </w:rPr>
        <w:t>”</w:t>
      </w:r>
      <w:r>
        <w:t>，却未对</w:t>
      </w:r>
      <w:r>
        <w:rPr>
          <w:rFonts w:hint="eastAsia"/>
        </w:rPr>
        <w:t>“</w:t>
      </w:r>
      <w:r>
        <w:t>文化性农业活动</w:t>
      </w:r>
      <w:r>
        <w:rPr>
          <w:rFonts w:hint="eastAsia"/>
        </w:rPr>
        <w:t>”</w:t>
      </w:r>
      <w:r>
        <w:t>设置例外条款或过渡性安排。实践中，农户常以</w:t>
      </w:r>
      <w:r>
        <w:rPr>
          <w:rFonts w:hint="eastAsia"/>
        </w:rPr>
        <w:t>“</w:t>
      </w:r>
      <w:r>
        <w:t>祖辈耕种</w:t>
      </w:r>
      <w:r>
        <w:rPr>
          <w:rFonts w:hint="eastAsia"/>
        </w:rPr>
        <w:t>”、“</w:t>
      </w:r>
      <w:r>
        <w:t>文化传统</w:t>
      </w:r>
      <w:r>
        <w:rPr>
          <w:rFonts w:hint="eastAsia"/>
        </w:rPr>
        <w:t>”等</w:t>
      </w:r>
      <w:r>
        <w:t>为由抵制退耕还湿，而基层执法部门亦因顾虑社会稳定而采取柔性处理，导致法律刚性约束被文化话语消解。与此同时，《水法》</w:t>
      </w:r>
      <w:r>
        <w:rPr>
          <w:rFonts w:hint="eastAsia"/>
        </w:rPr>
        <w:t>与</w:t>
      </w:r>
      <w:r>
        <w:t>《防洪法》虽明文禁止滩区种植阻碍行洪的作物，但对</w:t>
      </w:r>
      <w:r>
        <w:rPr>
          <w:rFonts w:hint="eastAsia"/>
        </w:rPr>
        <w:t>“</w:t>
      </w:r>
      <w:r>
        <w:t>阻碍行洪</w:t>
      </w:r>
      <w:r>
        <w:rPr>
          <w:rFonts w:hint="eastAsia"/>
        </w:rPr>
        <w:t>”</w:t>
      </w:r>
      <w:r>
        <w:t>的判定标准缺乏量化指标，山药深沟是否构成实质妨碍，在技术认定与司法裁判中均存在模糊地带</w:t>
      </w:r>
      <w:r>
        <w:rPr>
          <w:rFonts w:hint="eastAsia"/>
        </w:rPr>
        <w:t>。因此在治理时不能简单地“一刀切”撤离农民，而应采取“有序安排迁建”的温和方式。</w:t>
      </w:r>
      <w:r>
        <w:fldChar w:fldCharType="begin"/>
      </w:r>
      <w:r>
        <w:instrText xml:space="preserve"> </w:instrText>
      </w:r>
      <w:r>
        <w:rPr>
          <w:rFonts w:hint="eastAsia"/>
        </w:rPr>
        <w:instrText xml:space="preserve">REF _Ref221972412 \r \h</w:instrText>
      </w:r>
      <w:r>
        <w:instrText xml:space="preserve">  \* MERGEFORMAT </w:instrText>
      </w:r>
      <w:r>
        <w:fldChar w:fldCharType="separate"/>
      </w:r>
      <w:r>
        <w:rPr>
          <w:vertAlign w:val="superscript"/>
        </w:rPr>
        <w:t>[23]</w:t>
      </w:r>
      <w:r>
        <w:fldChar w:fldCharType="end"/>
      </w:r>
    </w:p>
    <w:p w14:paraId="4FE9EFC5">
      <w:pPr>
        <w:ind w:firstLine="476"/>
      </w:pPr>
      <w:r>
        <w:t>此种法治困境折射出环境法在价值整合上的深层挑战</w:t>
      </w:r>
      <w:r>
        <w:rPr>
          <w:rFonts w:hint="eastAsia"/>
        </w:rPr>
        <w:t>，</w:t>
      </w:r>
      <w:r>
        <w:t>习近平生态文明思想提出的人与自然</w:t>
      </w:r>
      <w:r>
        <w:rPr>
          <w:rFonts w:hint="eastAsia"/>
        </w:rPr>
        <w:t>和谐共生</w:t>
      </w:r>
      <w:r>
        <w:t>理念，为此提供了价值指引</w:t>
      </w:r>
      <w:r>
        <w:rPr>
          <w:rFonts w:hint="eastAsia"/>
        </w:rPr>
        <w:t>。</w:t>
      </w:r>
      <w:r>
        <w:t>文化传承必须以生态系统的完整性为前提，当传统实践危及流域安全时，法律应通过生态补偿、产业转型等制度工具引导行为调整，而非以文化名义豁免环境责任。焦作滩区的治理出路，</w:t>
      </w:r>
      <w:r>
        <w:rPr>
          <w:rFonts w:hint="eastAsia"/>
        </w:rPr>
        <w:t>正是《生态环境法典》所提倡的协同思路的具体应用，</w:t>
      </w:r>
      <w:r>
        <w:t>在于构建</w:t>
      </w:r>
      <w:r>
        <w:rPr>
          <w:rFonts w:hint="eastAsia"/>
        </w:rPr>
        <w:t>以</w:t>
      </w:r>
      <w:r>
        <w:t>法治保障</w:t>
      </w:r>
      <w:r>
        <w:rPr>
          <w:rFonts w:hint="eastAsia"/>
        </w:rPr>
        <w:t>为前提，</w:t>
      </w:r>
      <w:r>
        <w:t>文化尊重</w:t>
      </w:r>
      <w:r>
        <w:rPr>
          <w:rFonts w:hint="eastAsia"/>
        </w:rPr>
        <w:t>兼顾</w:t>
      </w:r>
      <w:r>
        <w:t>生态优先三位一体的协同框架，使黄河文化在绿色发展中获得新生，而非在生态退化中走向消亡。</w:t>
      </w:r>
    </w:p>
    <w:p w14:paraId="5CA02BBC">
      <w:pPr>
        <w:ind w:firstLine="476"/>
      </w:pPr>
      <w:r>
        <w:rPr>
          <w:rFonts w:hint="eastAsia"/>
        </w:rPr>
        <w:t>综上，由于黄土高原的泥沙来源及其带来的淤积问题，滩区的沉沙功能极其重要。在治理滩区时，必须在法律框架内找到一个平衡点，治理黄河滩区不能牺牲人民群众的生计来换取自然的完整。如《黄河保护法》及相关的耕地保护法规的制定与实施必须与“绿色发展”理念相结合，推动黄河滩区从粗放型管理向集约型治理的转变，既守住了生态底线，也保障了经济底线。</w:t>
      </w:r>
    </w:p>
    <w:p w14:paraId="4176FF0A">
      <w:pPr>
        <w:pStyle w:val="4"/>
        <w:spacing w:before="240" w:after="240"/>
        <w:ind w:left="0"/>
      </w:pPr>
      <w:bookmarkStart w:id="12" w:name="_Toc221972847"/>
      <w:r>
        <w:rPr>
          <w:rFonts w:hint="eastAsia"/>
        </w:rPr>
        <w:t>解决路径与对策</w:t>
      </w:r>
      <w:bookmarkEnd w:id="12"/>
    </w:p>
    <w:p w14:paraId="0D22FDC0">
      <w:pPr>
        <w:ind w:firstLine="476"/>
        <w:rPr>
          <w:rFonts w:hint="eastAsia" w:ascii="宋体" w:hAnsi="宋体"/>
        </w:rPr>
      </w:pPr>
      <w:r>
        <w:rPr>
          <w:rFonts w:ascii="宋体" w:hAnsi="宋体"/>
        </w:rPr>
        <w:t>焦作段黄河滩区治理的深层困境，源于经济理性与生态理性的结构性张力。破解这一困局，不能寄望于单一政策工具的修补</w:t>
      </w:r>
      <w:r>
        <w:rPr>
          <w:rFonts w:hint="eastAsia" w:ascii="宋体" w:hAnsi="宋体"/>
        </w:rPr>
        <w:t>。</w:t>
      </w:r>
      <w:r>
        <w:rPr>
          <w:rFonts w:ascii="宋体" w:hAnsi="宋体"/>
        </w:rPr>
        <w:t>需构建以法治为基底</w:t>
      </w:r>
      <w:r>
        <w:rPr>
          <w:rFonts w:hint="eastAsia" w:ascii="宋体" w:hAnsi="宋体"/>
        </w:rPr>
        <w:t>，</w:t>
      </w:r>
      <w:r>
        <w:rPr>
          <w:rFonts w:ascii="宋体" w:hAnsi="宋体"/>
        </w:rPr>
        <w:t>多元主体协同参与的系统性治理框架。在此背景下，习近平生态文明思想所倡导的“人与自然是生命共同体”理念，为滩区治理提供了价值锚点；而《生态环境法典》的颁布实施，则为制度设计提供了规范依据。</w:t>
      </w:r>
    </w:p>
    <w:p w14:paraId="126D5D6F">
      <w:pPr>
        <w:pStyle w:val="5"/>
        <w:spacing w:before="240" w:after="240"/>
      </w:pPr>
      <w:bookmarkStart w:id="13" w:name="_Toc221972848"/>
      <w:r>
        <w:rPr>
          <w:rFonts w:hint="eastAsia"/>
        </w:rPr>
        <w:t>特殊省情下的治理措施</w:t>
      </w:r>
      <w:bookmarkEnd w:id="13"/>
    </w:p>
    <w:p w14:paraId="08A62506">
      <w:pPr>
        <w:ind w:firstLine="476"/>
      </w:pPr>
      <w:r>
        <w:t>焦作段滩区治理的制度设计，须立足河南</w:t>
      </w:r>
      <w:r>
        <w:rPr>
          <w:rFonts w:hint="eastAsia"/>
        </w:rPr>
        <w:t>“</w:t>
      </w:r>
      <w:r>
        <w:t>耕地红线刚性约束</w:t>
      </w:r>
      <w:r>
        <w:rPr>
          <w:rFonts w:hint="eastAsia"/>
        </w:rPr>
        <w:t>“</w:t>
      </w:r>
      <w:r>
        <w:t>与</w:t>
      </w:r>
      <w:r>
        <w:rPr>
          <w:rFonts w:hint="eastAsia"/>
        </w:rPr>
        <w:t>”</w:t>
      </w:r>
      <w:r>
        <w:t>滩区行洪功能优先</w:t>
      </w:r>
      <w:r>
        <w:rPr>
          <w:rFonts w:hint="eastAsia"/>
        </w:rPr>
        <w:t>“</w:t>
      </w:r>
      <w:r>
        <w:t>的双重省情，在《生态环境法典》框架下</w:t>
      </w:r>
      <w:r>
        <w:rPr>
          <w:rFonts w:hint="eastAsia"/>
        </w:rPr>
        <w:t>，建立协同治理机制。在河南省，必须进一步深化《黄河滩区综合管理条例》的立法效力，将“耕地红线”与“滩区红线”硬性绑定。</w:t>
      </w:r>
    </w:p>
    <w:p w14:paraId="68E70569">
      <w:pPr>
        <w:ind w:firstLine="476"/>
      </w:pPr>
      <w:r>
        <w:rPr>
          <w:rFonts w:hint="eastAsia"/>
        </w:rPr>
        <w:t>第一，应破除协同治理机制的立法固化。</w:t>
      </w:r>
      <w:r>
        <w:t>黄河滩区兼具</w:t>
      </w:r>
      <w:r>
        <w:rPr>
          <w:rFonts w:hint="eastAsia"/>
        </w:rPr>
        <w:t>“</w:t>
      </w:r>
      <w:r>
        <w:t>行洪通道</w:t>
      </w:r>
      <w:r>
        <w:rPr>
          <w:rFonts w:hint="eastAsia"/>
        </w:rPr>
        <w:t>”</w:t>
      </w:r>
      <w:r>
        <w:t>与</w:t>
      </w:r>
      <w:r>
        <w:rPr>
          <w:rFonts w:hint="eastAsia"/>
        </w:rPr>
        <w:t>“</w:t>
      </w:r>
      <w:r>
        <w:t>生</w:t>
      </w:r>
      <w:r>
        <w:rPr>
          <w:rFonts w:hint="eastAsia"/>
        </w:rPr>
        <w:t>活</w:t>
      </w:r>
      <w:r>
        <w:t>空间</w:t>
      </w:r>
      <w:r>
        <w:rPr>
          <w:rFonts w:hint="eastAsia"/>
        </w:rPr>
        <w:t>”</w:t>
      </w:r>
      <w:r>
        <w:t>的双重属性，单一部门监管易陷入</w:t>
      </w:r>
      <w:r>
        <w:rPr>
          <w:rFonts w:hint="eastAsia"/>
        </w:rPr>
        <w:t>“</w:t>
      </w:r>
      <w:r>
        <w:t>水利部门重防洪、农业部门重产出</w:t>
      </w:r>
      <w:r>
        <w:rPr>
          <w:rFonts w:hint="eastAsia"/>
        </w:rPr>
        <w:t>”</w:t>
      </w:r>
      <w:r>
        <w:t>的职能割裂。建议在《河南省黄河滩区综合管理条例》修订中，明确建立由水利、自然资源、农业农村、生态环境四部门组成的</w:t>
      </w:r>
      <w:r>
        <w:rPr>
          <w:rFonts w:hint="eastAsia"/>
        </w:rPr>
        <w:t>“</w:t>
      </w:r>
      <w:r>
        <w:t>滩区协同治理委员会</w:t>
      </w:r>
      <w:r>
        <w:rPr>
          <w:rFonts w:hint="eastAsia"/>
        </w:rPr>
        <w:t>”</w:t>
      </w:r>
      <w:r>
        <w:t>，赋予其对滩区土地用途变更的联合审批权。对深沟开垦、高密度种植等行为，不再仅以《防洪法》第22条</w:t>
      </w:r>
      <w:r>
        <w:rPr>
          <w:rFonts w:hint="eastAsia"/>
        </w:rPr>
        <w:t>“</w:t>
      </w:r>
      <w:r>
        <w:t>禁止种植阻碍行洪的高秆作物</w:t>
      </w:r>
      <w:r>
        <w:rPr>
          <w:rFonts w:hint="eastAsia"/>
        </w:rPr>
        <w:t>”</w:t>
      </w:r>
      <w:r>
        <w:t>作原则性禁止，而应通过地方立法细化</w:t>
      </w:r>
      <w:r>
        <w:rPr>
          <w:rFonts w:hint="eastAsia"/>
        </w:rPr>
        <w:t>“</w:t>
      </w:r>
      <w:r>
        <w:t>阻碍行洪</w:t>
      </w:r>
      <w:r>
        <w:rPr>
          <w:rFonts w:hint="eastAsia"/>
        </w:rPr>
        <w:t>”</w:t>
      </w:r>
      <w:r>
        <w:t>的量化标准</w:t>
      </w:r>
      <w:r>
        <w:fldChar w:fldCharType="begin"/>
      </w:r>
      <w:r>
        <w:instrText xml:space="preserve"> REF _Ref221972486 \r \h  \* MERGEFORMAT </w:instrText>
      </w:r>
      <w:r>
        <w:fldChar w:fldCharType="separate"/>
      </w:r>
      <w:r>
        <w:rPr>
          <w:vertAlign w:val="superscript"/>
        </w:rPr>
        <w:t>[24]</w:t>
      </w:r>
      <w:r>
        <w:fldChar w:fldCharType="end"/>
      </w:r>
      <w:r>
        <w:rPr>
          <w:rFonts w:hint="eastAsia"/>
        </w:rPr>
        <w:t>，</w:t>
      </w:r>
      <w:r>
        <w:t>即构成对行洪断面的实质性妨碍</w:t>
      </w:r>
      <w:r>
        <w:rPr>
          <w:rFonts w:hint="eastAsia"/>
        </w:rPr>
        <w:t>。</w:t>
      </w:r>
      <w:r>
        <w:t>此种原则</w:t>
      </w:r>
      <w:r>
        <w:rPr>
          <w:rFonts w:hint="eastAsia"/>
        </w:rPr>
        <w:t>与</w:t>
      </w:r>
      <w:r>
        <w:t>标准的立法技术，既避免执法弹性过大，亦为农户提供明确行为预期。</w:t>
      </w:r>
    </w:p>
    <w:p w14:paraId="01C769C3">
      <w:pPr>
        <w:ind w:firstLine="476"/>
      </w:pPr>
      <w:r>
        <w:rPr>
          <w:rFonts w:hint="eastAsia"/>
        </w:rPr>
        <w:t>第二，要注意环境侵权责任的司法激活。</w:t>
      </w:r>
      <w:r>
        <w:t>当前滩区生态退化多依赖行政约谈、限期整改等柔性手段，违法成本过低导致</w:t>
      </w:r>
      <w:r>
        <w:rPr>
          <w:rFonts w:hint="eastAsia"/>
        </w:rPr>
        <w:t>“</w:t>
      </w:r>
      <w:r>
        <w:t>边整改边破坏</w:t>
      </w:r>
      <w:r>
        <w:rPr>
          <w:rFonts w:hint="eastAsia"/>
        </w:rPr>
        <w:t>”的</w:t>
      </w:r>
      <w:r>
        <w:t>现象频发。应激活</w:t>
      </w:r>
      <w:r>
        <w:rPr>
          <w:rFonts w:hint="eastAsia"/>
        </w:rPr>
        <w:t>适用</w:t>
      </w:r>
      <w:r>
        <w:t>《民法典》第1229条环境侵权责任条款，对因山药连作导致土壤有机质含量下降超</w:t>
      </w:r>
      <w:r>
        <w:rPr>
          <w:rFonts w:hint="eastAsia"/>
        </w:rPr>
        <w:t>当地环境承载限度</w:t>
      </w:r>
      <w:r>
        <w:t>、防风固沙能力减弱的区域，由检察机关提起环境民事公益诉讼，要求种植主体承担土壤修复费用。</w:t>
      </w:r>
      <w:r>
        <w:rPr>
          <w:rFonts w:hint="eastAsia"/>
        </w:rPr>
        <w:t>针对因非法采砂导致的泥沙淤积问题，可依据《民法典》物权编的规定，认定为对滩区公共资源的非法侵占，受损方有权请求停止侵害、排除妨害、返还原物及赔偿损失。</w:t>
      </w:r>
      <w:r>
        <w:fldChar w:fldCharType="begin"/>
      </w:r>
      <w:r>
        <w:instrText xml:space="preserve"> </w:instrText>
      </w:r>
      <w:r>
        <w:rPr>
          <w:rFonts w:hint="eastAsia"/>
        </w:rPr>
        <w:instrText xml:space="preserve">REF _Ref221972499 \r \h</w:instrText>
      </w:r>
      <w:r>
        <w:instrText xml:space="preserve">  \* MERGEFORMAT </w:instrText>
      </w:r>
      <w:r>
        <w:fldChar w:fldCharType="separate"/>
      </w:r>
      <w:r>
        <w:rPr>
          <w:vertAlign w:val="superscript"/>
        </w:rPr>
        <w:t>[25]</w:t>
      </w:r>
      <w:r>
        <w:fldChar w:fldCharType="end"/>
      </w:r>
      <w:r>
        <w:t>此</w:t>
      </w:r>
      <w:r>
        <w:rPr>
          <w:rFonts w:hint="eastAsia"/>
        </w:rPr>
        <w:t>类案例</w:t>
      </w:r>
      <w:r>
        <w:t>适用于高强度农业开发引发的水土流失责任认定，形成行政监管</w:t>
      </w:r>
      <w:r>
        <w:rPr>
          <w:rFonts w:hint="eastAsia"/>
        </w:rPr>
        <w:t>与</w:t>
      </w:r>
      <w:r>
        <w:t>司法追责的双重威慑。</w:t>
      </w:r>
      <w:r>
        <w:rPr>
          <w:rFonts w:hint="eastAsia"/>
        </w:rPr>
        <w:t>对滩区非法采砂、倾倒垃圾、阻塞排洪断面等影响更为恶劣的行为，依法适用《刑法》进行严惩。</w:t>
      </w:r>
    </w:p>
    <w:p w14:paraId="5A30FE6F">
      <w:pPr>
        <w:ind w:firstLine="476"/>
      </w:pPr>
      <w:r>
        <w:rPr>
          <w:rFonts w:hint="eastAsia"/>
        </w:rPr>
        <w:t>第三，积极促进生态补偿与产业转型的精准耦合。</w:t>
      </w:r>
      <w:r>
        <w:t>单纯发放生态补偿金易诱发</w:t>
      </w:r>
      <w:r>
        <w:rPr>
          <w:rFonts w:hint="eastAsia"/>
        </w:rPr>
        <w:t>“</w:t>
      </w:r>
      <w:r>
        <w:t>等靠要</w:t>
      </w:r>
      <w:r>
        <w:rPr>
          <w:rFonts w:hint="eastAsia"/>
        </w:rPr>
        <w:t>”的</w:t>
      </w:r>
      <w:r>
        <w:t>心理，须将补偿与绿色生产行为绑定。可依托焦作铁棍山药协会，设立</w:t>
      </w:r>
      <w:r>
        <w:rPr>
          <w:rFonts w:hint="eastAsia"/>
        </w:rPr>
        <w:t>“</w:t>
      </w:r>
      <w:r>
        <w:t>滩区生态种植认证体系</w:t>
      </w:r>
      <w:r>
        <w:rPr>
          <w:rFonts w:hint="eastAsia"/>
        </w:rPr>
        <w:t>”，</w:t>
      </w:r>
      <w:r>
        <w:t>对采用浅沟栽培</w:t>
      </w:r>
      <w:r>
        <w:rPr>
          <w:rFonts w:hint="eastAsia"/>
        </w:rPr>
        <w:t>、</w:t>
      </w:r>
      <w:r>
        <w:t>休耕周期、化肥施用量</w:t>
      </w:r>
      <w:r>
        <w:rPr>
          <w:rFonts w:hint="eastAsia"/>
        </w:rPr>
        <w:t>等符合标准的</w:t>
      </w:r>
      <w:r>
        <w:t>农户，</w:t>
      </w:r>
      <w:r>
        <w:rPr>
          <w:rFonts w:hint="eastAsia"/>
        </w:rPr>
        <w:t>比照当地最低生活标准进行</w:t>
      </w:r>
      <w:r>
        <w:t>补贴</w:t>
      </w:r>
      <w:r>
        <w:rPr>
          <w:rFonts w:hint="eastAsia"/>
        </w:rPr>
        <w:t>。并优先</w:t>
      </w:r>
      <w:r>
        <w:t>纳入</w:t>
      </w:r>
      <w:r>
        <w:rPr>
          <w:rFonts w:hint="eastAsia"/>
        </w:rPr>
        <w:t>“</w:t>
      </w:r>
      <w:r>
        <w:t>地理标志产品</w:t>
      </w:r>
      <w:r>
        <w:rPr>
          <w:rFonts w:hint="eastAsia"/>
        </w:rPr>
        <w:t>”</w:t>
      </w:r>
      <w:r>
        <w:t>供应链。同时，引导产业向价值链高端延伸</w:t>
      </w:r>
      <w:r>
        <w:rPr>
          <w:rFonts w:hint="eastAsia"/>
        </w:rPr>
        <w:t>。例如，</w:t>
      </w:r>
      <w:r>
        <w:t>温县已试点</w:t>
      </w:r>
      <w:r>
        <w:rPr>
          <w:rFonts w:hint="eastAsia"/>
        </w:rPr>
        <w:t>“</w:t>
      </w:r>
      <w:r>
        <w:t>山药秸秆</w:t>
      </w:r>
      <w:r>
        <w:rPr>
          <w:rFonts w:hint="eastAsia"/>
        </w:rPr>
        <w:t>混合</w:t>
      </w:r>
      <w:r>
        <w:t>食用菌基料</w:t>
      </w:r>
      <w:r>
        <w:rPr>
          <w:rFonts w:hint="eastAsia"/>
        </w:rPr>
        <w:t>产生</w:t>
      </w:r>
      <w:r>
        <w:t>有机肥”</w:t>
      </w:r>
      <w:r>
        <w:rPr>
          <w:rFonts w:hint="eastAsia"/>
        </w:rPr>
        <w:t>的</w:t>
      </w:r>
      <w:r>
        <w:t>循环模式，将废弃秸秆转化为平菇栽培基质</w:t>
      </w:r>
      <w:r>
        <w:rPr>
          <w:rFonts w:hint="eastAsia"/>
        </w:rPr>
        <w:t>。</w:t>
      </w:r>
      <w:r>
        <w:t>既减少秸秆焚烧污染，又降低化肥依赖。</w:t>
      </w:r>
      <w:r>
        <w:rPr>
          <w:rFonts w:hint="eastAsia"/>
        </w:rPr>
        <w:t>同时，针对山药种植户，提供“山药深加工”技术补贴，将山药深加工为山药粉、山药提取物，提升产品附加值，减少对土地的过度开垦</w:t>
      </w:r>
      <w:r>
        <w:t>，使生态保护从成本负担转化为收益来源。</w:t>
      </w:r>
    </w:p>
    <w:p w14:paraId="249DC2B1">
      <w:pPr>
        <w:ind w:firstLine="476"/>
      </w:pPr>
      <w:r>
        <w:rPr>
          <w:rFonts w:hint="eastAsia"/>
        </w:rPr>
        <w:t>第四，从公众参与的制度化嵌入着手，</w:t>
      </w:r>
      <w:r>
        <w:t>滩区治理不能仅靠政府</w:t>
      </w:r>
      <w:r>
        <w:rPr>
          <w:rFonts w:hint="eastAsia"/>
        </w:rPr>
        <w:t>“</w:t>
      </w:r>
      <w:r>
        <w:t>单打独斗</w:t>
      </w:r>
      <w:r>
        <w:rPr>
          <w:rFonts w:hint="eastAsia"/>
        </w:rPr>
        <w:t>”</w:t>
      </w:r>
      <w:r>
        <w:t>。</w:t>
      </w:r>
      <w:r>
        <w:rPr>
          <w:rFonts w:hint="eastAsia"/>
        </w:rPr>
        <w:t>针对当地的山药种植文化，要深入基层开展法治观念普及。必须在焦作段及周边地区广泛开展《黄河保护法》与《生态环境法典》的宣传工作，明确滩区治理的法律底线和红线。</w:t>
      </w:r>
      <w:r>
        <w:t>可借鉴</w:t>
      </w:r>
      <w:r>
        <w:rPr>
          <w:rFonts w:hint="eastAsia"/>
        </w:rPr>
        <w:t>“</w:t>
      </w:r>
      <w:r>
        <w:t>河长+检察长</w:t>
      </w:r>
      <w:r>
        <w:rPr>
          <w:rFonts w:hint="eastAsia"/>
        </w:rPr>
        <w:t>”的</w:t>
      </w:r>
      <w:r>
        <w:t>联动机制，在焦作段试点</w:t>
      </w:r>
      <w:r>
        <w:rPr>
          <w:rFonts w:hint="eastAsia"/>
        </w:rPr>
        <w:t>“</w:t>
      </w:r>
      <w:r>
        <w:t>滩区生态监督员</w:t>
      </w:r>
      <w:r>
        <w:rPr>
          <w:rFonts w:hint="eastAsia"/>
        </w:rPr>
        <w:t>”</w:t>
      </w:r>
      <w:r>
        <w:t>制度</w:t>
      </w:r>
      <w:r>
        <w:rPr>
          <w:rFonts w:hint="eastAsia"/>
        </w:rPr>
        <w:t>。</w:t>
      </w:r>
      <w:r>
        <w:t>从滩区居民中遴选熟悉水文规律的老农、退伍渔民担任监督员，配备简易水质检测包与手机APP，对非法挖沟、倾倒垃圾等行为实时拍照上传至水利部门监管平台，查实后给予</w:t>
      </w:r>
      <w:r>
        <w:rPr>
          <w:rFonts w:hint="eastAsia"/>
        </w:rPr>
        <w:t>适当</w:t>
      </w:r>
      <w:r>
        <w:t>奖励。2024年山东东明县推行类似制度后，滩区违规开垦举报量上升47%，而执法响应时间缩短至4小时内，证明基层参与可有效弥补监管盲区。</w:t>
      </w:r>
      <w:r>
        <w:fldChar w:fldCharType="begin"/>
      </w:r>
      <w:r>
        <w:instrText xml:space="preserve"> REF _Ref221972505 \r \h  \* MERGEFORMAT </w:instrText>
      </w:r>
      <w:r>
        <w:fldChar w:fldCharType="separate"/>
      </w:r>
      <w:r>
        <w:rPr>
          <w:vertAlign w:val="superscript"/>
        </w:rPr>
        <w:t>[26]</w:t>
      </w:r>
      <w:r>
        <w:fldChar w:fldCharType="end"/>
      </w:r>
      <w:r>
        <w:rPr>
          <w:rFonts w:hint="eastAsia"/>
        </w:rPr>
        <w:t>。</w:t>
      </w:r>
    </w:p>
    <w:p w14:paraId="5342CD07">
      <w:pPr>
        <w:pStyle w:val="5"/>
        <w:spacing w:before="240" w:after="240"/>
      </w:pPr>
      <w:bookmarkStart w:id="14" w:name="_Toc221972849"/>
      <w:r>
        <w:rPr>
          <w:rFonts w:hint="eastAsia"/>
        </w:rPr>
        <w:t>其他省份滩区治理经验借鉴</w:t>
      </w:r>
      <w:bookmarkEnd w:id="14"/>
    </w:p>
    <w:p w14:paraId="44C05F62">
      <w:pPr>
        <w:ind w:firstLine="476"/>
      </w:pPr>
      <w:r>
        <w:rPr>
          <w:rFonts w:hint="eastAsia"/>
        </w:rPr>
        <w:t>焦作段滩区的治理不能闭门造车，必须借鉴其他黄河流域省份的成功经验。在借鉴对象上，要根据河南段黄河的特殊性，聚焦黄河中游具有类似背景的省份。</w:t>
      </w:r>
      <w:r>
        <w:t>跨区域经验借鉴需警惕</w:t>
      </w:r>
      <w:r>
        <w:rPr>
          <w:rFonts w:hint="eastAsia"/>
        </w:rPr>
        <w:t>“</w:t>
      </w:r>
      <w:r>
        <w:t>水土不服</w:t>
      </w:r>
      <w:r>
        <w:rPr>
          <w:rFonts w:hint="eastAsia"/>
        </w:rPr>
        <w:t>”</w:t>
      </w:r>
      <w:r>
        <w:t>，应聚焦与焦作段具有相似生态约束（行洪功能优先）与经济诉求（农业依赖度高）的区域，提取可迁移的制度内核。</w:t>
      </w:r>
    </w:p>
    <w:p w14:paraId="23180447">
      <w:pPr>
        <w:ind w:firstLine="476"/>
      </w:pPr>
      <w:r>
        <w:rPr>
          <w:rFonts w:hint="eastAsia"/>
        </w:rPr>
        <w:t>首先，借鉴同样属于黄河下游的山东，其滩区治理方面采取了“空间生产”的策略，即通过空间规划，将滩区划分为“生产区”“生活区”“防洪区”。特别是在山东省菏泽市，通过“迁建社区”模式，将滩区居民有序迁入城镇，并在滩区内发展风力发电等新能源产业，拓宽了滩区群众的“乐业致富路”。</w:t>
      </w:r>
      <w:r>
        <w:fldChar w:fldCharType="begin"/>
      </w:r>
      <w:r>
        <w:instrText xml:space="preserve"> </w:instrText>
      </w:r>
      <w:r>
        <w:rPr>
          <w:rFonts w:hint="eastAsia"/>
        </w:rPr>
        <w:instrText xml:space="preserve">REF _Ref221972511 \r \h</w:instrText>
      </w:r>
      <w:r>
        <w:instrText xml:space="preserve">  \* MERGEFORMAT </w:instrText>
      </w:r>
      <w:r>
        <w:fldChar w:fldCharType="separate"/>
      </w:r>
      <w:r>
        <w:rPr>
          <w:vertAlign w:val="superscript"/>
        </w:rPr>
        <w:t>[27]</w:t>
      </w:r>
      <w:r>
        <w:fldChar w:fldCharType="end"/>
      </w:r>
      <w:r>
        <w:rPr>
          <w:rFonts w:hint="eastAsia"/>
        </w:rPr>
        <w:t>焦作段可以借鉴这一模式，将部分不适宜农业种植的滩区划定为新能源开发区，发展风电、光伏等绿色能源。</w:t>
      </w:r>
      <w:r>
        <w:t>焦作段汛期水位变幅较菏泽更大，光伏支架基础须采用可拆卸式设计，确保汛前</w:t>
      </w:r>
      <w:r>
        <w:rPr>
          <w:rFonts w:hint="eastAsia"/>
        </w:rPr>
        <w:t>有充足时间</w:t>
      </w:r>
      <w:r>
        <w:t>完成设备撤离，</w:t>
      </w:r>
      <w:r>
        <w:rPr>
          <w:rFonts w:hint="eastAsia"/>
        </w:rPr>
        <w:t>探索</w:t>
      </w:r>
      <w:r>
        <w:t>经验移植的关键技术适配点</w:t>
      </w:r>
      <w:r>
        <w:rPr>
          <w:rFonts w:hint="eastAsia"/>
        </w:rPr>
        <w:t>。</w:t>
      </w:r>
    </w:p>
    <w:p w14:paraId="6B68CAD1">
      <w:pPr>
        <w:ind w:firstLine="476"/>
      </w:pPr>
      <w:r>
        <w:rPr>
          <w:rFonts w:hint="eastAsia"/>
        </w:rPr>
        <w:t>其次，位于黄河中游的陕西省与河南具有相类似的农耕背景。陕西省在黄河滩区推广小龙虾养殖、小杂粮深加工等模式。实现</w:t>
      </w:r>
      <w:r>
        <w:t>冬季种植小麦固土，夏季收割后播种苜蓿供滩羊放牧，秋季蓄水发展稻田养蟹</w:t>
      </w:r>
      <w:r>
        <w:rPr>
          <w:rFonts w:hint="eastAsia"/>
        </w:rPr>
        <w:t>的</w:t>
      </w:r>
      <w:r>
        <w:t>三季轮作。</w:t>
      </w:r>
      <w:r>
        <w:rPr>
          <w:rFonts w:hint="eastAsia"/>
        </w:rPr>
        <w:t>这些模式具有占地少、</w:t>
      </w:r>
      <w:r>
        <w:t>扰动小，且牧草根系可改善土壤团粒结构</w:t>
      </w:r>
      <w:r>
        <w:rPr>
          <w:rFonts w:hint="eastAsia"/>
        </w:rPr>
        <w:t>，极为适合滩区地理</w:t>
      </w:r>
      <w:r>
        <w:t>。</w:t>
      </w:r>
      <w:r>
        <w:fldChar w:fldCharType="begin"/>
      </w:r>
      <w:r>
        <w:instrText xml:space="preserve"> REF _Ref221972516 \r \h  \* MERGEFORMAT </w:instrText>
      </w:r>
      <w:r>
        <w:fldChar w:fldCharType="separate"/>
      </w:r>
      <w:r>
        <w:rPr>
          <w:vertAlign w:val="superscript"/>
        </w:rPr>
        <w:t>[28]</w:t>
      </w:r>
      <w:r>
        <w:fldChar w:fldCharType="end"/>
      </w:r>
      <w:r>
        <w:rPr>
          <w:rFonts w:hint="eastAsia"/>
        </w:rPr>
        <w:t>由于焦作段滩区的承载力有限，</w:t>
      </w:r>
      <w:r>
        <w:t>虽不宜直接引入畜牧业，但可提取其</w:t>
      </w:r>
      <w:r>
        <w:rPr>
          <w:rFonts w:hint="eastAsia"/>
        </w:rPr>
        <w:t>“</w:t>
      </w:r>
      <w:r>
        <w:t>季节性功能切换</w:t>
      </w:r>
      <w:r>
        <w:rPr>
          <w:rFonts w:hint="eastAsia"/>
        </w:rPr>
        <w:t>”</w:t>
      </w:r>
      <w:r>
        <w:t>内核</w:t>
      </w:r>
      <w:r>
        <w:rPr>
          <w:rFonts w:hint="eastAsia"/>
        </w:rPr>
        <w:t>。</w:t>
      </w:r>
      <w:r>
        <w:t>在山药收获后的枯水期，引导农户种植绿肥作物，翻压还田后提升土壤有机质</w:t>
      </w:r>
      <w:r>
        <w:rPr>
          <w:rFonts w:hint="eastAsia"/>
        </w:rPr>
        <w:t>；</w:t>
      </w:r>
      <w:r>
        <w:t>汛期前则严格休耕，恢复滩地自然滞洪功能。</w:t>
      </w:r>
      <w:r>
        <w:rPr>
          <w:rFonts w:hint="eastAsia"/>
        </w:rPr>
        <w:t>通过跨产业的结合，在法律允许的范围内，解决原本困扰当地居民的山药轮作问题。</w:t>
      </w:r>
    </w:p>
    <w:p w14:paraId="2E39A884">
      <w:pPr>
        <w:ind w:firstLine="476"/>
      </w:pPr>
      <w:r>
        <w:rPr>
          <w:rFonts w:hint="eastAsia"/>
        </w:rPr>
        <w:t>最后，仍要落实到河南省的地方性法规。</w:t>
      </w:r>
      <w:r>
        <w:t>河南省已在《关于促进黄河流域生态保护和高质量发展的决定》中提出</w:t>
      </w:r>
      <w:r>
        <w:rPr>
          <w:rFonts w:hint="eastAsia"/>
        </w:rPr>
        <w:t>“</w:t>
      </w:r>
      <w:r>
        <w:t>建立滩区生态损害赔偿制度</w:t>
      </w:r>
      <w:r>
        <w:rPr>
          <w:rFonts w:hint="eastAsia"/>
        </w:rPr>
        <w:t>”</w:t>
      </w:r>
      <w:r>
        <w:fldChar w:fldCharType="begin"/>
      </w:r>
      <w:r>
        <w:instrText xml:space="preserve"> </w:instrText>
      </w:r>
      <w:r>
        <w:rPr>
          <w:rFonts w:hint="eastAsia"/>
        </w:rPr>
        <w:instrText xml:space="preserve">REF _Ref221972406 \r \h</w:instrText>
      </w:r>
      <w:r>
        <w:instrText xml:space="preserve">  \* MERGEFORMAT </w:instrText>
      </w:r>
      <w:r>
        <w:fldChar w:fldCharType="separate"/>
      </w:r>
      <w:r>
        <w:rPr>
          <w:vertAlign w:val="superscript"/>
        </w:rPr>
        <w:t>[22]</w:t>
      </w:r>
      <w:r>
        <w:fldChar w:fldCharType="end"/>
      </w:r>
      <w:r>
        <w:rPr>
          <w:rFonts w:hint="eastAsia"/>
        </w:rPr>
        <w:t>。开始探索“黄河滩区生态保护法治保障”的路径，</w:t>
      </w:r>
      <w:r>
        <w:t>但尚未细化赔偿标准与资金使用规则。焦作段可率先试点对每块滩区耕地建立电子档案，动态记录土壤有机质含量、沟壑密度等指标，当指标恶化至阈值以下时，自动冻结该地块的农业补贴发放，直至修复达标。此制度将抽象的生态红线转化为可计量、可追溯的行为约束，为全省滩区治理提供可复制的立法样本。</w:t>
      </w:r>
    </w:p>
    <w:p w14:paraId="75029BB4">
      <w:pPr>
        <w:keepNext/>
        <w:spacing w:before="240" w:beforeLines="100" w:after="240" w:afterLines="100"/>
        <w:ind w:firstLine="0" w:firstLineChars="0"/>
        <w:jc w:val="center"/>
        <w:outlineLvl w:val="0"/>
        <w:rPr>
          <w:rFonts w:ascii="Arial" w:hAnsi="Arial" w:eastAsia="黑体"/>
          <w:sz w:val="32"/>
        </w:rPr>
      </w:pPr>
      <w:bookmarkStart w:id="15" w:name="_Toc221972850"/>
      <w:r>
        <w:rPr>
          <w:rFonts w:hint="eastAsia" w:ascii="Arial" w:hAnsi="Arial" w:eastAsia="黑体"/>
          <w:sz w:val="32"/>
        </w:rPr>
        <w:t>结论</w:t>
      </w:r>
      <w:bookmarkEnd w:id="15"/>
    </w:p>
    <w:p w14:paraId="001C3ABC">
      <w:pPr>
        <w:ind w:firstLine="476"/>
      </w:pPr>
      <w:r>
        <w:t>焦作段黄河滩区治理的深层命题，在于</w:t>
      </w:r>
      <w:r>
        <w:rPr>
          <w:rFonts w:hint="eastAsia"/>
        </w:rPr>
        <w:t>打破“</w:t>
      </w:r>
      <w:r>
        <w:t>经济发展</w:t>
      </w:r>
      <w:r>
        <w:rPr>
          <w:rFonts w:hint="eastAsia"/>
        </w:rPr>
        <w:t>”</w:t>
      </w:r>
      <w:r>
        <w:t>与</w:t>
      </w:r>
      <w:r>
        <w:rPr>
          <w:rFonts w:hint="eastAsia"/>
        </w:rPr>
        <w:t>“</w:t>
      </w:r>
      <w:r>
        <w:t>生态保护</w:t>
      </w:r>
      <w:r>
        <w:rPr>
          <w:rFonts w:hint="eastAsia"/>
        </w:rPr>
        <w:t>”</w:t>
      </w:r>
      <w:r>
        <w:t>的二元对立思维，构建基于滩区空间异质性与水文节律的差异化治理框架。本文研究表明，山药种植引发的土壤退化、行洪功能弱化等生态风险，并非单纯源于农户的短视行为，而是耕地红线刚性约束、滩区土地多功能属性与现行法律规则粗放化之间的结构性张力所致。在此背景下，简单诉诸禁垦或搬迁难以破解困局，唯有通过法治化路径实现</w:t>
      </w:r>
      <w:r>
        <w:rPr>
          <w:rFonts w:hint="eastAsia"/>
        </w:rPr>
        <w:t>协同治理</w:t>
      </w:r>
      <w:r>
        <w:t>制度耦合的</w:t>
      </w:r>
      <w:r>
        <w:rPr>
          <w:rFonts w:hint="eastAsia"/>
        </w:rPr>
        <w:t>制度</w:t>
      </w:r>
      <w:r>
        <w:t>整合，方能在保障行洪安全的前提下，维系滩区居民的生计权益。</w:t>
      </w:r>
    </w:p>
    <w:p w14:paraId="5605F8F7">
      <w:pPr>
        <w:ind w:firstLine="476"/>
      </w:pPr>
      <w:r>
        <w:t>尤为关键的是，焦作经验揭示了环境法在新时代的使命转向</w:t>
      </w:r>
      <w:r>
        <w:rPr>
          <w:rFonts w:hint="eastAsia"/>
        </w:rPr>
        <w:t>。即</w:t>
      </w:r>
      <w:r>
        <w:t>从侧重污染末端治理的</w:t>
      </w:r>
      <w:r>
        <w:rPr>
          <w:rFonts w:hint="eastAsia"/>
        </w:rPr>
        <w:t>“</w:t>
      </w:r>
      <w:r>
        <w:t>消极防御</w:t>
      </w:r>
      <w:r>
        <w:rPr>
          <w:rFonts w:hint="eastAsia"/>
        </w:rPr>
        <w:t>”</w:t>
      </w:r>
      <w:r>
        <w:t>，迈向统筹生态功能与生计保障的</w:t>
      </w:r>
      <w:r>
        <w:rPr>
          <w:rFonts w:hint="eastAsia"/>
        </w:rPr>
        <w:t>“</w:t>
      </w:r>
      <w:r>
        <w:t>积极建构</w:t>
      </w:r>
      <w:r>
        <w:rPr>
          <w:rFonts w:hint="eastAsia"/>
        </w:rPr>
        <w:t>”</w:t>
      </w:r>
      <w:r>
        <w:t>。当</w:t>
      </w:r>
      <w:r>
        <w:rPr>
          <w:rFonts w:hint="eastAsia"/>
        </w:rPr>
        <w:t>“</w:t>
      </w:r>
      <w:r>
        <w:t>绿水青山就是金山银山</w:t>
      </w:r>
      <w:r>
        <w:rPr>
          <w:rFonts w:hint="eastAsia"/>
        </w:rPr>
        <w:t>”</w:t>
      </w:r>
      <w:r>
        <w:t>不再停留于价值宣示，而通过生态损害赔偿、产业转型等制度工具落地为可感知的权益安排时，法治方能真正成为人与自然和谐共生的桥梁。焦作段的探索虽具地域特殊性，但其对空间</w:t>
      </w:r>
      <w:r>
        <w:rPr>
          <w:rFonts w:hint="eastAsia"/>
        </w:rPr>
        <w:t>与</w:t>
      </w:r>
      <w:r>
        <w:t>时间协同</w:t>
      </w:r>
      <w:r>
        <w:rPr>
          <w:rFonts w:hint="eastAsia"/>
        </w:rPr>
        <w:t>下的</w:t>
      </w:r>
      <w:r>
        <w:t>制度耦合治理逻辑的实践，为黄河流域乃至全国生态功能区的差异化法治路径提供了可资借鉴的范式样本。</w:t>
      </w:r>
    </w:p>
    <w:p w14:paraId="3E2CFE30">
      <w:pPr>
        <w:ind w:firstLine="476"/>
      </w:pPr>
      <w:r>
        <w:rPr>
          <w:rFonts w:hint="eastAsia"/>
        </w:rPr>
        <w:t>因此，必须坚持习近平法治思想，运用法治思维和法治方式，以法定权力为依托，纠正错误的经济行为，实现山药种植与黄河生态保护的有机统一。在治理措施上，必须严格执行“先行后种”的原则，严厉打击非法挖沟、堆放废弃物等破坏河床平整度的行为，依法追究责任人刑事责任，构建协同框架下的“执法</w:t>
      </w:r>
      <w:r>
        <w:t>+</w:t>
      </w:r>
      <w:r>
        <w:rPr>
          <w:rFonts w:hint="eastAsia"/>
        </w:rPr>
        <w:t>司法”的法治体系。</w:t>
      </w:r>
    </w:p>
    <w:p w14:paraId="5F205339">
      <w:pPr>
        <w:ind w:firstLine="476"/>
      </w:pPr>
      <w:r>
        <w:rPr>
          <w:rFonts w:hint="eastAsia"/>
        </w:rPr>
        <w:t>焦作段应根据自身的地理位置和资源禀赋，制定差异化的治理方案，既不盲目追求工业化，也不止步于传统农业。必须以“行洪安全”为红线，以“山药产业”为切入点，通过产业结构调整、生态补偿机制和创新监管手段，破解滩区治理的难题。焦作段的治理应当在保护黄河母亲河的生态安全的同时，提升滩区人民的生活质量，实现人水和谐的现代化新黄河。</w:t>
      </w:r>
    </w:p>
    <w:p w14:paraId="2737C389">
      <w:pPr>
        <w:ind w:firstLine="476"/>
      </w:pPr>
      <w:r>
        <w:rPr>
          <w:rFonts w:hint="eastAsia"/>
        </w:rPr>
        <w:t>综上所述，焦作段黄河滩区的治理是一个复杂的系统工程。它涉及自然地理的独特性、历史积累的经济行为模式以及现代治理理念的冲突与融合。只有通过严格的法律约束、科学的政策引导以及合理的产业布局，才能真正解决焦作段黄河滩区的生态危机，实现“滩区人民安居乐业，滩区生态长治久安”的双重目标。</w:t>
      </w:r>
    </w:p>
    <w:p w14:paraId="4B64EC58">
      <w:pPr>
        <w:tabs>
          <w:tab w:val="clear" w:pos="8640"/>
        </w:tabs>
        <w:spacing w:line="240" w:lineRule="auto"/>
        <w:ind w:firstLine="0" w:firstLineChars="0"/>
        <w:jc w:val="left"/>
        <w:rPr>
          <w:rFonts w:ascii="Arial" w:hAnsi="Arial"/>
          <w:b/>
          <w:kern w:val="28"/>
        </w:rPr>
      </w:pPr>
      <w:r>
        <w:br w:type="page"/>
      </w:r>
    </w:p>
    <w:p w14:paraId="19FCF186">
      <w:pPr>
        <w:ind w:firstLine="0" w:firstLineChars="0"/>
        <w:jc w:val="center"/>
        <w:outlineLvl w:val="0"/>
        <w:rPr>
          <w:rFonts w:hint="eastAsia" w:ascii="宋体" w:hAnsi="宋体" w:cs="Arial"/>
          <w:b/>
          <w:sz w:val="32"/>
          <w:szCs w:val="32"/>
        </w:rPr>
      </w:pPr>
      <w:bookmarkStart w:id="16" w:name="_Toc221972851"/>
      <w:r>
        <w:rPr>
          <w:rFonts w:hint="eastAsia" w:ascii="宋体" w:hAnsi="宋体" w:cs="Arial"/>
          <w:b/>
          <w:sz w:val="32"/>
          <w:szCs w:val="32"/>
        </w:rPr>
        <w:t>参考文献</w:t>
      </w:r>
      <w:bookmarkEnd w:id="16"/>
    </w:p>
    <w:p w14:paraId="2FEDE822">
      <w:pPr>
        <w:pStyle w:val="23"/>
        <w:numPr>
          <w:ilvl w:val="0"/>
          <w:numId w:val="2"/>
        </w:numPr>
        <w:ind w:firstLineChars="0"/>
      </w:pPr>
      <w:bookmarkStart w:id="17" w:name="_Ref221971922"/>
      <w:r>
        <w:rPr>
          <w:rFonts w:hint="eastAsia"/>
        </w:rPr>
        <w:t>马莹</w:t>
      </w:r>
      <w:r>
        <w:t>.</w:t>
      </w:r>
      <w:r>
        <w:rPr>
          <w:rFonts w:hint="eastAsia"/>
        </w:rPr>
        <w:t>温县怀山药种植区土壤理化特征及根际土壤微生态环境特征分析</w:t>
      </w:r>
      <w:r>
        <w:t>[D].</w:t>
      </w:r>
      <w:r>
        <w:rPr>
          <w:rFonts w:hint="eastAsia"/>
        </w:rPr>
        <w:t>河南理工大学</w:t>
      </w:r>
      <w:r>
        <w:t>,2011.</w:t>
      </w:r>
      <w:bookmarkEnd w:id="17"/>
    </w:p>
    <w:p w14:paraId="54EF30F9">
      <w:pPr>
        <w:pStyle w:val="23"/>
        <w:numPr>
          <w:ilvl w:val="0"/>
          <w:numId w:val="2"/>
        </w:numPr>
        <w:ind w:firstLineChars="0"/>
      </w:pPr>
      <w:bookmarkStart w:id="18" w:name="_Ref221971974"/>
      <w:r>
        <w:rPr>
          <w:rFonts w:hint="eastAsia"/>
        </w:rPr>
        <w:t>韩锁义</w:t>
      </w:r>
      <w:r>
        <w:t>;</w:t>
      </w:r>
      <w:r>
        <w:rPr>
          <w:rFonts w:hint="eastAsia"/>
        </w:rPr>
        <w:t>张新友</w:t>
      </w:r>
      <w:r>
        <w:t>;</w:t>
      </w:r>
      <w:r>
        <w:rPr>
          <w:rFonts w:hint="eastAsia"/>
        </w:rPr>
        <w:t>王素霞</w:t>
      </w:r>
      <w:r>
        <w:t>;</w:t>
      </w:r>
      <w:r>
        <w:rPr>
          <w:rFonts w:hint="eastAsia"/>
        </w:rPr>
        <w:t>汤丰收</w:t>
      </w:r>
      <w:r>
        <w:t>;</w:t>
      </w:r>
      <w:r>
        <w:rPr>
          <w:rFonts w:hint="eastAsia"/>
        </w:rPr>
        <w:t>董文召</w:t>
      </w:r>
      <w:r>
        <w:t>;.</w:t>
      </w:r>
      <w:r>
        <w:rPr>
          <w:rFonts w:hint="eastAsia"/>
        </w:rPr>
        <w:t>河南省怀山药生产现状</w:t>
      </w:r>
      <w:r>
        <w:t>[J].</w:t>
      </w:r>
      <w:r>
        <w:rPr>
          <w:rFonts w:hint="eastAsia"/>
        </w:rPr>
        <w:t>河南农业科学</w:t>
      </w:r>
      <w:r>
        <w:t>,2011,(09):</w:t>
      </w:r>
      <w:bookmarkEnd w:id="18"/>
    </w:p>
    <w:p w14:paraId="7736AB60">
      <w:pPr>
        <w:pStyle w:val="23"/>
        <w:numPr>
          <w:ilvl w:val="0"/>
          <w:numId w:val="2"/>
        </w:numPr>
        <w:ind w:firstLineChars="0"/>
      </w:pPr>
      <w:bookmarkStart w:id="19" w:name="_Ref221972063"/>
      <w:r>
        <w:rPr>
          <w:rFonts w:hint="eastAsia"/>
        </w:rPr>
        <w:t>秦旭</w:t>
      </w:r>
      <w:r>
        <w:t>,</w:t>
      </w:r>
      <w:r>
        <w:rPr>
          <w:rFonts w:hint="eastAsia"/>
        </w:rPr>
        <w:t>卢景生</w:t>
      </w:r>
      <w:r>
        <w:t>,</w:t>
      </w:r>
      <w:r>
        <w:rPr>
          <w:rFonts w:hint="eastAsia"/>
        </w:rPr>
        <w:t>李国栋</w:t>
      </w:r>
      <w:r>
        <w:t>,</w:t>
      </w:r>
      <w:r>
        <w:rPr>
          <w:rFonts w:hint="eastAsia"/>
        </w:rPr>
        <w:t>等</w:t>
      </w:r>
      <w:r>
        <w:t>.</w:t>
      </w:r>
      <w:r>
        <w:rPr>
          <w:rFonts w:hint="eastAsia"/>
        </w:rPr>
        <w:t>黄河滩区果品高质量发展模式关键技术</w:t>
      </w:r>
      <w:r>
        <w:t>[J].</w:t>
      </w:r>
      <w:r>
        <w:rPr>
          <w:rFonts w:hint="eastAsia"/>
        </w:rPr>
        <w:t>农业知识</w:t>
      </w:r>
      <w:r>
        <w:t>,2023,(08):11-13.</w:t>
      </w:r>
      <w:bookmarkEnd w:id="19"/>
    </w:p>
    <w:p w14:paraId="075989CC">
      <w:pPr>
        <w:pStyle w:val="23"/>
        <w:numPr>
          <w:ilvl w:val="0"/>
          <w:numId w:val="2"/>
        </w:numPr>
        <w:ind w:firstLineChars="0"/>
      </w:pPr>
      <w:bookmarkStart w:id="20" w:name="_Ref221972085"/>
      <w:r>
        <w:rPr>
          <w:rFonts w:hint="eastAsia"/>
        </w:rPr>
        <w:t>焦作市四大怀药保护和发展条例</w:t>
      </w:r>
      <w:r>
        <w:t>[N].</w:t>
      </w:r>
      <w:r>
        <w:rPr>
          <w:rFonts w:hint="eastAsia"/>
        </w:rPr>
        <w:t>焦作日报</w:t>
      </w:r>
      <w:r>
        <w:t>,2025-08-12(A03).</w:t>
      </w:r>
      <w:bookmarkEnd w:id="20"/>
    </w:p>
    <w:p w14:paraId="11081DC5">
      <w:pPr>
        <w:pStyle w:val="23"/>
        <w:numPr>
          <w:ilvl w:val="0"/>
          <w:numId w:val="2"/>
        </w:numPr>
        <w:ind w:firstLineChars="0"/>
      </w:pPr>
      <w:bookmarkStart w:id="21" w:name="_Ref221972149"/>
      <w:r>
        <w:rPr>
          <w:rFonts w:hint="eastAsia"/>
        </w:rPr>
        <w:t>杨士恒</w:t>
      </w:r>
      <w:r>
        <w:t>.</w:t>
      </w:r>
      <w:r>
        <w:rPr>
          <w:rFonts w:hint="eastAsia"/>
        </w:rPr>
        <w:t>河南省黄河滩区建设框架的研究</w:t>
      </w:r>
      <w:r>
        <w:t>[J].</w:t>
      </w:r>
      <w:r>
        <w:rPr>
          <w:rFonts w:hint="eastAsia"/>
        </w:rPr>
        <w:t>人民黄河</w:t>
      </w:r>
      <w:r>
        <w:t>,2010,32(08):20-21.</w:t>
      </w:r>
      <w:bookmarkEnd w:id="21"/>
    </w:p>
    <w:p w14:paraId="7F6ACD0E">
      <w:pPr>
        <w:pStyle w:val="23"/>
        <w:numPr>
          <w:ilvl w:val="0"/>
          <w:numId w:val="2"/>
        </w:numPr>
        <w:ind w:firstLineChars="0"/>
      </w:pPr>
      <w:bookmarkStart w:id="22" w:name="_Ref221972169"/>
      <w:r>
        <w:rPr>
          <w:rFonts w:hint="eastAsia"/>
        </w:rPr>
        <w:t>胡一三</w:t>
      </w:r>
      <w:r>
        <w:t>.</w:t>
      </w:r>
      <w:r>
        <w:rPr>
          <w:rFonts w:hint="eastAsia"/>
        </w:rPr>
        <w:t>黄河滩区安全建设和补偿政策研究</w:t>
      </w:r>
      <w:r>
        <w:t>[J].</w:t>
      </w:r>
      <w:r>
        <w:rPr>
          <w:rFonts w:hint="eastAsia"/>
        </w:rPr>
        <w:t>人民黄河</w:t>
      </w:r>
      <w:r>
        <w:t>,2007,(05):1-2+79.</w:t>
      </w:r>
      <w:bookmarkEnd w:id="22"/>
    </w:p>
    <w:p w14:paraId="3F497EA8">
      <w:pPr>
        <w:pStyle w:val="23"/>
        <w:numPr>
          <w:ilvl w:val="0"/>
          <w:numId w:val="2"/>
        </w:numPr>
        <w:ind w:firstLineChars="0"/>
      </w:pPr>
      <w:bookmarkStart w:id="23" w:name="_Ref221972193"/>
      <w:r>
        <w:rPr>
          <w:rFonts w:hint="eastAsia"/>
        </w:rPr>
        <w:t>刘迪</w:t>
      </w:r>
      <w:r>
        <w:t>,</w:t>
      </w:r>
      <w:r>
        <w:rPr>
          <w:rFonts w:hint="eastAsia"/>
        </w:rPr>
        <w:t>李静文</w:t>
      </w:r>
      <w:r>
        <w:t>,</w:t>
      </w:r>
      <w:r>
        <w:rPr>
          <w:rFonts w:hint="eastAsia"/>
        </w:rPr>
        <w:t>陈海</w:t>
      </w:r>
      <w:r>
        <w:t>,</w:t>
      </w:r>
      <w:r>
        <w:rPr>
          <w:rFonts w:hint="eastAsia"/>
        </w:rPr>
        <w:t>等</w:t>
      </w:r>
      <w:r>
        <w:t>.</w:t>
      </w:r>
      <w:r>
        <w:rPr>
          <w:rFonts w:hint="eastAsia"/>
        </w:rPr>
        <w:t>黄河滩区生态移民生计能力对主观福祉影响的组态路径分析</w:t>
      </w:r>
      <w:r>
        <w:t>[J].</w:t>
      </w:r>
      <w:r>
        <w:rPr>
          <w:rFonts w:hint="eastAsia"/>
        </w:rPr>
        <w:t>人文地理</w:t>
      </w:r>
      <w:r>
        <w:t>,2025,40(05):90-100</w:t>
      </w:r>
      <w:bookmarkEnd w:id="23"/>
    </w:p>
    <w:p w14:paraId="018CD484">
      <w:pPr>
        <w:pStyle w:val="23"/>
        <w:numPr>
          <w:ilvl w:val="0"/>
          <w:numId w:val="2"/>
        </w:numPr>
        <w:ind w:firstLineChars="0"/>
      </w:pPr>
      <w:bookmarkStart w:id="24" w:name="_Ref221972223"/>
      <w:r>
        <w:rPr>
          <w:rFonts w:hint="eastAsia"/>
        </w:rPr>
        <w:t>陈通</w:t>
      </w:r>
      <w:r>
        <w:t>,</w:t>
      </w:r>
      <w:r>
        <w:rPr>
          <w:rFonts w:hint="eastAsia"/>
        </w:rPr>
        <w:t>任登魁</w:t>
      </w:r>
      <w:r>
        <w:t>.</w:t>
      </w:r>
      <w:r>
        <w:rPr>
          <w:rFonts w:hint="eastAsia"/>
        </w:rPr>
        <w:t>我国黄河滩区产业扶贫路径探析</w:t>
      </w:r>
      <w:r>
        <w:t>[J].</w:t>
      </w:r>
      <w:r>
        <w:rPr>
          <w:rFonts w:hint="eastAsia"/>
        </w:rPr>
        <w:t>中国农村研究</w:t>
      </w:r>
      <w:r>
        <w:t>,2015,(01):308-322.</w:t>
      </w:r>
      <w:bookmarkEnd w:id="24"/>
    </w:p>
    <w:p w14:paraId="12C18B7F">
      <w:pPr>
        <w:pStyle w:val="23"/>
        <w:numPr>
          <w:ilvl w:val="0"/>
          <w:numId w:val="2"/>
        </w:numPr>
        <w:ind w:firstLineChars="0"/>
      </w:pPr>
      <w:bookmarkStart w:id="25" w:name="_Ref221972239"/>
      <w:r>
        <w:rPr>
          <w:rFonts w:hint="eastAsia"/>
        </w:rPr>
        <w:t>河南严查原阳黄河滩区砖瓦窖事件</w:t>
      </w:r>
      <w:r>
        <w:t>[J].</w:t>
      </w:r>
      <w:r>
        <w:rPr>
          <w:rFonts w:hint="eastAsia"/>
        </w:rPr>
        <w:t>资源与人居环境</w:t>
      </w:r>
      <w:r>
        <w:t>,2009,(18):45.</w:t>
      </w:r>
      <w:bookmarkEnd w:id="25"/>
    </w:p>
    <w:p w14:paraId="26113BD0">
      <w:pPr>
        <w:pStyle w:val="23"/>
        <w:numPr>
          <w:ilvl w:val="0"/>
          <w:numId w:val="2"/>
        </w:numPr>
        <w:ind w:firstLineChars="0"/>
      </w:pPr>
      <w:bookmarkStart w:id="26" w:name="_Ref221972246"/>
      <w:r>
        <w:rPr>
          <w:rFonts w:hint="eastAsia"/>
        </w:rPr>
        <w:t>李乐乐</w:t>
      </w:r>
      <w:r>
        <w:t>.</w:t>
      </w:r>
      <w:r>
        <w:rPr>
          <w:rFonts w:hint="eastAsia"/>
        </w:rPr>
        <w:t>河南省河长办组织开展联合打击黄河非法电鱼专项行动</w:t>
      </w:r>
      <w:r>
        <w:t>[J].</w:t>
      </w:r>
      <w:r>
        <w:rPr>
          <w:rFonts w:hint="eastAsia"/>
        </w:rPr>
        <w:t>河南水利与南水北调</w:t>
      </w:r>
      <w:r>
        <w:t>,2019,48(03):97.</w:t>
      </w:r>
      <w:bookmarkEnd w:id="26"/>
    </w:p>
    <w:p w14:paraId="7E307423">
      <w:pPr>
        <w:pStyle w:val="23"/>
        <w:numPr>
          <w:ilvl w:val="0"/>
          <w:numId w:val="2"/>
        </w:numPr>
        <w:ind w:firstLineChars="0"/>
      </w:pPr>
      <w:bookmarkStart w:id="27" w:name="_Ref221972263"/>
      <w:r>
        <w:rPr>
          <w:rFonts w:hint="eastAsia"/>
        </w:rPr>
        <w:t>雷亚红</w:t>
      </w:r>
      <w:r>
        <w:t>,</w:t>
      </w:r>
      <w:r>
        <w:rPr>
          <w:rFonts w:hint="eastAsia"/>
        </w:rPr>
        <w:t>杨洋</w:t>
      </w:r>
      <w:r>
        <w:t>,</w:t>
      </w:r>
      <w:r>
        <w:rPr>
          <w:rFonts w:hint="eastAsia"/>
        </w:rPr>
        <w:t>陈卫国</w:t>
      </w:r>
      <w:r>
        <w:t>.</w:t>
      </w:r>
      <w:r>
        <w:rPr>
          <w:rFonts w:hint="eastAsia"/>
        </w:rPr>
        <w:t>洛阳黄河滩区经济发展现状及未来规划构想</w:t>
      </w:r>
      <w:r>
        <w:t>[J].</w:t>
      </w:r>
      <w:r>
        <w:rPr>
          <w:rFonts w:hint="eastAsia"/>
        </w:rPr>
        <w:t>黄河水利职业技术学院学报</w:t>
      </w:r>
      <w:r>
        <w:t>,2013,25(04):17-19</w:t>
      </w:r>
      <w:bookmarkEnd w:id="27"/>
    </w:p>
    <w:p w14:paraId="23E4558B">
      <w:pPr>
        <w:pStyle w:val="23"/>
        <w:numPr>
          <w:ilvl w:val="0"/>
          <w:numId w:val="2"/>
        </w:numPr>
        <w:ind w:firstLineChars="0"/>
      </w:pPr>
      <w:bookmarkStart w:id="28" w:name="_Ref221972273"/>
      <w:r>
        <w:rPr>
          <w:rFonts w:hint="eastAsia"/>
        </w:rPr>
        <w:t>河南省实施《中华人民共和国黄河保护法》办法</w:t>
      </w:r>
      <w:r>
        <w:t>[N].</w:t>
      </w:r>
      <w:r>
        <w:rPr>
          <w:rFonts w:hint="eastAsia"/>
        </w:rPr>
        <w:t>河南日报</w:t>
      </w:r>
      <w:r>
        <w:t>,2024-12-18(009).</w:t>
      </w:r>
      <w:bookmarkEnd w:id="28"/>
    </w:p>
    <w:p w14:paraId="09B28A3E">
      <w:pPr>
        <w:pStyle w:val="23"/>
        <w:numPr>
          <w:ilvl w:val="0"/>
          <w:numId w:val="2"/>
        </w:numPr>
        <w:ind w:firstLineChars="0"/>
      </w:pPr>
      <w:bookmarkStart w:id="29" w:name="_Ref221972306"/>
      <w:r>
        <w:rPr>
          <w:rFonts w:hint="eastAsia"/>
        </w:rPr>
        <w:t>张雅芹</w:t>
      </w:r>
      <w:r>
        <w:t>,</w:t>
      </w:r>
      <w:r>
        <w:rPr>
          <w:rFonts w:hint="eastAsia"/>
        </w:rPr>
        <w:t>齐俊</w:t>
      </w:r>
      <w:r>
        <w:t>,</w:t>
      </w:r>
      <w:r>
        <w:rPr>
          <w:rFonts w:hint="eastAsia"/>
        </w:rPr>
        <w:t>吴闯</w:t>
      </w:r>
      <w:r>
        <w:t>,</w:t>
      </w:r>
      <w:r>
        <w:rPr>
          <w:rFonts w:hint="eastAsia"/>
        </w:rPr>
        <w:t>等</w:t>
      </w:r>
      <w:r>
        <w:t>.</w:t>
      </w:r>
      <w:r>
        <w:rPr>
          <w:rFonts w:hint="eastAsia"/>
        </w:rPr>
        <w:t>“双碳”目标背景下黄河滩区生态综合整治研究——以济南市黄河滩区为例</w:t>
      </w:r>
      <w:r>
        <w:t>[J].</w:t>
      </w:r>
      <w:r>
        <w:rPr>
          <w:rFonts w:hint="eastAsia"/>
        </w:rPr>
        <w:t>中国国土资源经济</w:t>
      </w:r>
      <w:r>
        <w:t>,2025,38(11):52-59+69</w:t>
      </w:r>
      <w:bookmarkEnd w:id="29"/>
    </w:p>
    <w:p w14:paraId="216E30B6">
      <w:pPr>
        <w:pStyle w:val="23"/>
        <w:numPr>
          <w:ilvl w:val="0"/>
          <w:numId w:val="2"/>
        </w:numPr>
        <w:ind w:firstLineChars="0"/>
      </w:pPr>
      <w:bookmarkStart w:id="30" w:name="_Ref221972315"/>
      <w:r>
        <w:rPr>
          <w:rFonts w:hint="eastAsia"/>
        </w:rPr>
        <w:t>魏东柱</w:t>
      </w:r>
      <w:r>
        <w:t>.</w:t>
      </w:r>
      <w:r>
        <w:rPr>
          <w:rFonts w:hint="eastAsia"/>
        </w:rPr>
        <w:t>黄河滩区应大力发展养殖业和水产业</w:t>
      </w:r>
      <w:r>
        <w:t>[N].</w:t>
      </w:r>
      <w:r>
        <w:rPr>
          <w:rFonts w:hint="eastAsia"/>
        </w:rPr>
        <w:t>开封日报</w:t>
      </w:r>
      <w:r>
        <w:t>,2011-03-25(003).</w:t>
      </w:r>
      <w:bookmarkEnd w:id="30"/>
    </w:p>
    <w:p w14:paraId="1B4F74D6">
      <w:pPr>
        <w:pStyle w:val="23"/>
        <w:numPr>
          <w:ilvl w:val="0"/>
          <w:numId w:val="2"/>
        </w:numPr>
        <w:ind w:firstLineChars="0"/>
      </w:pPr>
      <w:bookmarkStart w:id="31" w:name="_Ref221972320"/>
      <w:r>
        <w:rPr>
          <w:rFonts w:hint="eastAsia"/>
        </w:rPr>
        <w:t>董景娅</w:t>
      </w:r>
      <w:r>
        <w:t>.</w:t>
      </w:r>
      <w:r>
        <w:rPr>
          <w:rFonts w:hint="eastAsia"/>
        </w:rPr>
        <w:t>我省制定出台</w:t>
      </w:r>
      <w:r>
        <w:t>26</w:t>
      </w:r>
      <w:r>
        <w:rPr>
          <w:rFonts w:hint="eastAsia"/>
        </w:rPr>
        <w:t>条法治保障措施服务黄河流域生态保护和高质量发展</w:t>
      </w:r>
      <w:r>
        <w:t>[N].</w:t>
      </w:r>
      <w:r>
        <w:rPr>
          <w:rFonts w:hint="eastAsia"/>
        </w:rPr>
        <w:t>河南法治报</w:t>
      </w:r>
      <w:r>
        <w:t>,2025-05-08(002)</w:t>
      </w:r>
      <w:bookmarkEnd w:id="31"/>
    </w:p>
    <w:p w14:paraId="5241EA7E">
      <w:pPr>
        <w:pStyle w:val="23"/>
        <w:numPr>
          <w:ilvl w:val="0"/>
          <w:numId w:val="2"/>
        </w:numPr>
        <w:ind w:firstLineChars="0"/>
      </w:pPr>
      <w:bookmarkStart w:id="32" w:name="_Ref221972326"/>
      <w:r>
        <w:rPr>
          <w:rFonts w:hint="eastAsia"/>
        </w:rPr>
        <w:t>杨秋意</w:t>
      </w:r>
      <w:r>
        <w:t>.</w:t>
      </w:r>
      <w:r>
        <w:rPr>
          <w:rFonts w:hint="eastAsia"/>
        </w:rPr>
        <w:t>创新和谐迁建脱贫黄河滩区</w:t>
      </w:r>
      <w:r>
        <w:t>[J].</w:t>
      </w:r>
      <w:r>
        <w:rPr>
          <w:rFonts w:hint="eastAsia"/>
        </w:rPr>
        <w:t>农村·农业·农民</w:t>
      </w:r>
      <w:r>
        <w:t>(A</w:t>
      </w:r>
      <w:r>
        <w:rPr>
          <w:rFonts w:hint="eastAsia"/>
        </w:rPr>
        <w:t>版</w:t>
      </w:r>
      <w:r>
        <w:t>),2016,(21):26-28.</w:t>
      </w:r>
      <w:bookmarkEnd w:id="32"/>
    </w:p>
    <w:p w14:paraId="45CDB8D1">
      <w:pPr>
        <w:pStyle w:val="23"/>
        <w:numPr>
          <w:ilvl w:val="0"/>
          <w:numId w:val="2"/>
        </w:numPr>
        <w:ind w:firstLineChars="0"/>
      </w:pPr>
      <w:bookmarkStart w:id="33" w:name="_Ref221972337"/>
      <w:r>
        <w:rPr>
          <w:rFonts w:hint="eastAsia"/>
        </w:rPr>
        <w:t>任艳芬</w:t>
      </w:r>
      <w:r>
        <w:t>.</w:t>
      </w:r>
      <w:r>
        <w:rPr>
          <w:rFonts w:hint="eastAsia"/>
        </w:rPr>
        <w:t>铁棍山药机械打孔开沟高产栽培技术</w:t>
      </w:r>
      <w:r>
        <w:t>[J].</w:t>
      </w:r>
      <w:r>
        <w:rPr>
          <w:rFonts w:hint="eastAsia"/>
        </w:rPr>
        <w:t>科学种养</w:t>
      </w:r>
      <w:r>
        <w:t>,2019,(04):22-23</w:t>
      </w:r>
      <w:bookmarkEnd w:id="33"/>
    </w:p>
    <w:p w14:paraId="003809FD">
      <w:pPr>
        <w:pStyle w:val="23"/>
        <w:numPr>
          <w:ilvl w:val="0"/>
          <w:numId w:val="2"/>
        </w:numPr>
        <w:ind w:firstLineChars="0"/>
      </w:pPr>
      <w:bookmarkStart w:id="34" w:name="_Ref221972346"/>
      <w:r>
        <w:rPr>
          <w:rFonts w:hint="eastAsia"/>
        </w:rPr>
        <w:t>李青</w:t>
      </w:r>
      <w:r>
        <w:t>.</w:t>
      </w:r>
      <w:r>
        <w:rPr>
          <w:rFonts w:hint="eastAsia"/>
        </w:rPr>
        <w:t>绿色食品铁棍山药栽培技术</w:t>
      </w:r>
      <w:r>
        <w:t>[J].</w:t>
      </w:r>
      <w:r>
        <w:rPr>
          <w:rFonts w:hint="eastAsia"/>
        </w:rPr>
        <w:t>河南农业</w:t>
      </w:r>
      <w:r>
        <w:t>,2016,(31):31-32</w:t>
      </w:r>
      <w:bookmarkEnd w:id="34"/>
    </w:p>
    <w:p w14:paraId="00E3DD25">
      <w:pPr>
        <w:pStyle w:val="23"/>
        <w:numPr>
          <w:ilvl w:val="0"/>
          <w:numId w:val="2"/>
        </w:numPr>
        <w:ind w:firstLineChars="0"/>
      </w:pPr>
      <w:r>
        <w:rPr>
          <w:rFonts w:hint="eastAsia"/>
        </w:rPr>
        <w:t>胡一三</w:t>
      </w:r>
      <w:r>
        <w:t>.</w:t>
      </w:r>
      <w:r>
        <w:rPr>
          <w:rFonts w:hint="eastAsia"/>
        </w:rPr>
        <w:t>黄河滩区安全建设和补偿政策研究</w:t>
      </w:r>
      <w:r>
        <w:t>[J].</w:t>
      </w:r>
      <w:r>
        <w:rPr>
          <w:rFonts w:hint="eastAsia"/>
        </w:rPr>
        <w:t>人民黄河</w:t>
      </w:r>
      <w:r>
        <w:t>,2007,(05):1-2+79.</w:t>
      </w:r>
    </w:p>
    <w:p w14:paraId="40A78AB1">
      <w:pPr>
        <w:pStyle w:val="23"/>
        <w:numPr>
          <w:ilvl w:val="0"/>
          <w:numId w:val="2"/>
        </w:numPr>
        <w:ind w:firstLineChars="0"/>
      </w:pPr>
      <w:bookmarkStart w:id="35" w:name="_Ref221972378"/>
      <w:r>
        <w:rPr>
          <w:rFonts w:hint="eastAsia"/>
        </w:rPr>
        <w:t>张晓</w:t>
      </w:r>
      <w:r>
        <w:t>.</w:t>
      </w:r>
      <w:r>
        <w:rPr>
          <w:rFonts w:hint="eastAsia"/>
        </w:rPr>
        <w:t>地理标志产品“温县铁棍山药”产地溯源及功能性食品开发</w:t>
      </w:r>
      <w:r>
        <w:t>[D].</w:t>
      </w:r>
      <w:r>
        <w:rPr>
          <w:rFonts w:hint="eastAsia"/>
        </w:rPr>
        <w:t>郑州大学</w:t>
      </w:r>
      <w:r>
        <w:t>,202</w:t>
      </w:r>
      <w:bookmarkEnd w:id="35"/>
    </w:p>
    <w:p w14:paraId="76807DA1">
      <w:pPr>
        <w:pStyle w:val="23"/>
        <w:numPr>
          <w:ilvl w:val="0"/>
          <w:numId w:val="2"/>
        </w:numPr>
        <w:ind w:firstLineChars="0"/>
      </w:pPr>
      <w:bookmarkStart w:id="36" w:name="_Ref221972397"/>
      <w:r>
        <w:rPr>
          <w:rFonts w:hint="eastAsia"/>
        </w:rPr>
        <w:t>雷亚红</w:t>
      </w:r>
      <w:r>
        <w:t>,</w:t>
      </w:r>
      <w:r>
        <w:rPr>
          <w:rFonts w:hint="eastAsia"/>
        </w:rPr>
        <w:t>杨洋</w:t>
      </w:r>
      <w:r>
        <w:t>,</w:t>
      </w:r>
      <w:r>
        <w:rPr>
          <w:rFonts w:hint="eastAsia"/>
        </w:rPr>
        <w:t>陈卫国</w:t>
      </w:r>
      <w:r>
        <w:t>.</w:t>
      </w:r>
      <w:r>
        <w:rPr>
          <w:rFonts w:hint="eastAsia"/>
        </w:rPr>
        <w:t>洛阳黄河滩区经济发展现状及未来规划构想</w:t>
      </w:r>
      <w:r>
        <w:t>[J].</w:t>
      </w:r>
      <w:r>
        <w:rPr>
          <w:rFonts w:hint="eastAsia"/>
        </w:rPr>
        <w:t>黄河水利职业技术学院学报</w:t>
      </w:r>
      <w:r>
        <w:t>,2013,25(04):17-19</w:t>
      </w:r>
      <w:bookmarkEnd w:id="36"/>
    </w:p>
    <w:p w14:paraId="22365827">
      <w:pPr>
        <w:pStyle w:val="23"/>
        <w:numPr>
          <w:ilvl w:val="0"/>
          <w:numId w:val="2"/>
        </w:numPr>
        <w:ind w:firstLineChars="0"/>
      </w:pPr>
      <w:bookmarkStart w:id="37" w:name="_Ref221972412"/>
      <w:r>
        <w:rPr>
          <w:rFonts w:hint="eastAsia"/>
        </w:rPr>
        <w:t>程业棋</w:t>
      </w:r>
      <w:r>
        <w:t>,</w:t>
      </w:r>
      <w:r>
        <w:rPr>
          <w:rFonts w:hint="eastAsia"/>
        </w:rPr>
        <w:t>彭昊</w:t>
      </w:r>
      <w:r>
        <w:t>,</w:t>
      </w:r>
      <w:r>
        <w:rPr>
          <w:rFonts w:hint="eastAsia"/>
        </w:rPr>
        <w:t>史雪晴</w:t>
      </w:r>
      <w:r>
        <w:t>.</w:t>
      </w:r>
      <w:r>
        <w:rPr>
          <w:rFonts w:hint="eastAsia"/>
        </w:rPr>
        <w:t>关于《中华人民共和国黄河保护法</w:t>
      </w:r>
      <w:r>
        <w:t>(</w:t>
      </w:r>
      <w:r>
        <w:rPr>
          <w:rFonts w:hint="eastAsia"/>
        </w:rPr>
        <w:t>草案</w:t>
      </w:r>
      <w:r>
        <w:t>)</w:t>
      </w:r>
      <w:r>
        <w:rPr>
          <w:rFonts w:hint="eastAsia"/>
        </w:rPr>
        <w:t>》的探讨</w:t>
      </w:r>
      <w:r>
        <w:t>[J].</w:t>
      </w:r>
      <w:r>
        <w:rPr>
          <w:rFonts w:hint="eastAsia"/>
        </w:rPr>
        <w:t>水利学报</w:t>
      </w:r>
      <w:r>
        <w:t>,2022,53(09):1064-1072</w:t>
      </w:r>
      <w:bookmarkEnd w:id="37"/>
    </w:p>
    <w:p w14:paraId="19E0A271">
      <w:pPr>
        <w:pStyle w:val="23"/>
        <w:numPr>
          <w:ilvl w:val="0"/>
          <w:numId w:val="2"/>
        </w:numPr>
        <w:ind w:firstLineChars="0"/>
      </w:pPr>
      <w:bookmarkStart w:id="38" w:name="_Ref221972486"/>
      <w:r>
        <w:rPr>
          <w:rFonts w:hint="eastAsia"/>
        </w:rPr>
        <w:t>张健</w:t>
      </w:r>
      <w:r>
        <w:t>,</w:t>
      </w:r>
      <w:r>
        <w:rPr>
          <w:rFonts w:hint="eastAsia"/>
        </w:rPr>
        <w:t>包家全</w:t>
      </w:r>
      <w:r>
        <w:t>,</w:t>
      </w:r>
      <w:r>
        <w:rPr>
          <w:rFonts w:hint="eastAsia"/>
        </w:rPr>
        <w:t>李东伟</w:t>
      </w:r>
      <w:r>
        <w:t>.</w:t>
      </w:r>
      <w:r>
        <w:rPr>
          <w:rFonts w:hint="eastAsia"/>
        </w:rPr>
        <w:t>原阳黄河滩区综合治理措施探讨</w:t>
      </w:r>
      <w:r>
        <w:t>[J].</w:t>
      </w:r>
      <w:r>
        <w:rPr>
          <w:rFonts w:hint="eastAsia"/>
        </w:rPr>
        <w:t>黄河水利职业技术学院学报</w:t>
      </w:r>
      <w:r>
        <w:t>,2007,(04):14-16.</w:t>
      </w:r>
      <w:bookmarkEnd w:id="38"/>
    </w:p>
    <w:p w14:paraId="6BBB1C6D">
      <w:pPr>
        <w:pStyle w:val="23"/>
        <w:numPr>
          <w:ilvl w:val="0"/>
          <w:numId w:val="2"/>
        </w:numPr>
        <w:ind w:firstLineChars="0"/>
      </w:pPr>
      <w:bookmarkStart w:id="39" w:name="_Ref221972499"/>
      <w:r>
        <w:rPr>
          <w:rFonts w:hint="eastAsia"/>
        </w:rPr>
        <w:t>张怀宇</w:t>
      </w:r>
      <w:r>
        <w:t>.</w:t>
      </w:r>
      <w:r>
        <w:rPr>
          <w:rFonts w:hint="eastAsia"/>
        </w:rPr>
        <w:t>黄河滩区生态保护法治保障研究</w:t>
      </w:r>
      <w:r>
        <w:t>[D].</w:t>
      </w:r>
      <w:r>
        <w:rPr>
          <w:rFonts w:hint="eastAsia"/>
        </w:rPr>
        <w:t>河南大学</w:t>
      </w:r>
      <w:r>
        <w:t>,2022.DOI:10.27114/d.cnki.ghnau.2022.000469.</w:t>
      </w:r>
      <w:bookmarkEnd w:id="39"/>
    </w:p>
    <w:p w14:paraId="59F4A789">
      <w:pPr>
        <w:pStyle w:val="23"/>
        <w:numPr>
          <w:ilvl w:val="0"/>
          <w:numId w:val="2"/>
        </w:numPr>
        <w:ind w:firstLineChars="0"/>
      </w:pPr>
      <w:bookmarkStart w:id="40" w:name="_Ref221972505"/>
      <w:r>
        <w:rPr>
          <w:rFonts w:hint="eastAsia"/>
        </w:rPr>
        <w:t>参考山东东明县人民</w:t>
      </w:r>
      <w:r>
        <w:t>信息公开专栏</w:t>
      </w:r>
      <w:r>
        <w:rPr>
          <w:rFonts w:hint="eastAsia"/>
        </w:rPr>
        <w:t>，http://www.dmzf.gov.cn/2c9080888317c945018354be76390137/2c90808483f0267a018440c50e710026/1855791877719220224.html，最后访问时间2026</w:t>
      </w:r>
      <w:r>
        <w:t>年</w:t>
      </w:r>
      <w:r>
        <w:rPr>
          <w:rFonts w:hint="eastAsia"/>
        </w:rPr>
        <w:t>2</w:t>
      </w:r>
      <w:r>
        <w:t>月</w:t>
      </w:r>
      <w:r>
        <w:rPr>
          <w:rFonts w:hint="eastAsia"/>
        </w:rPr>
        <w:t>14日</w:t>
      </w:r>
      <w:bookmarkEnd w:id="40"/>
    </w:p>
    <w:p w14:paraId="59AF74E3">
      <w:pPr>
        <w:pStyle w:val="23"/>
        <w:numPr>
          <w:ilvl w:val="0"/>
          <w:numId w:val="2"/>
        </w:numPr>
        <w:tabs>
          <w:tab w:val="clear" w:pos="8640"/>
        </w:tabs>
        <w:ind w:firstLineChars="0"/>
      </w:pPr>
      <w:bookmarkStart w:id="41" w:name="_Ref221972511"/>
      <w:r>
        <w:rPr>
          <w:rFonts w:hint="eastAsia"/>
        </w:rPr>
        <w:t>刘鹤</w:t>
      </w:r>
      <w:r>
        <w:t>.</w:t>
      </w:r>
      <w:r>
        <w:rPr>
          <w:rFonts w:hint="eastAsia"/>
        </w:rPr>
        <w:t>菏泽市拓宽黄河滩区群众“乐业致富路”</w:t>
      </w:r>
      <w:r>
        <w:t>[J].</w:t>
      </w:r>
      <w:r>
        <w:rPr>
          <w:rFonts w:hint="eastAsia"/>
        </w:rPr>
        <w:t>中国就业</w:t>
      </w:r>
      <w:r>
        <w:t>,2025,(10):118.</w:t>
      </w:r>
      <w:bookmarkEnd w:id="41"/>
    </w:p>
    <w:p w14:paraId="597FA501">
      <w:pPr>
        <w:pStyle w:val="23"/>
        <w:numPr>
          <w:ilvl w:val="0"/>
          <w:numId w:val="2"/>
        </w:numPr>
        <w:tabs>
          <w:tab w:val="clear" w:pos="8640"/>
        </w:tabs>
        <w:ind w:firstLineChars="0"/>
      </w:pPr>
      <w:bookmarkStart w:id="42" w:name="_Ref221972516"/>
      <w:r>
        <w:rPr>
          <w:rFonts w:hint="eastAsia"/>
        </w:rPr>
        <w:t>油朝相</w:t>
      </w:r>
      <w:r>
        <w:t>.</w:t>
      </w:r>
      <w:r>
        <w:rPr>
          <w:rFonts w:hint="eastAsia"/>
        </w:rPr>
        <w:t>黄河滩区小杂粮走进大市场</w:t>
      </w:r>
      <w:r>
        <w:t>[J].</w:t>
      </w:r>
      <w:r>
        <w:rPr>
          <w:rFonts w:hint="eastAsia"/>
        </w:rPr>
        <w:t>农业知识</w:t>
      </w:r>
      <w:r>
        <w:t>,2019,(15):31.</w:t>
      </w:r>
      <w:bookmarkEnd w:id="42"/>
    </w:p>
    <w:p w14:paraId="56E53C2E">
      <w:pPr>
        <w:pStyle w:val="65"/>
        <w:ind w:firstLine="0" w:firstLineChars="0"/>
        <w:rPr>
          <w:rFonts w:hint="eastAsia"/>
        </w:rPr>
      </w:pPr>
    </w:p>
    <w:p w14:paraId="4BF6FC83">
      <w:pPr>
        <w:ind w:firstLine="0" w:firstLineChars="0"/>
      </w:pPr>
    </w:p>
    <w:sectPr>
      <w:headerReference r:id="rId15" w:type="default"/>
      <w:headerReference r:id="rId16" w:type="even"/>
      <w:pgSz w:w="11907" w:h="16840"/>
      <w:pgMar w:top="1701" w:right="1418" w:bottom="1701" w:left="1418" w:header="1247" w:footer="124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72"/>
      </w:pPr>
      <w:r>
        <w:separator/>
      </w:r>
    </w:p>
  </w:endnote>
  <w:endnote w:type="continuationSeparator" w:id="1">
    <w:p>
      <w:pPr>
        <w:spacing w:line="240" w:lineRule="auto"/>
        <w:ind w:firstLine="47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00" w:usb3="00000000" w:csb0="00040000" w:csb1="00000000"/>
  </w:font>
  <w:font w:name="Arial Black">
    <w:altName w:val="Arial"/>
    <w:panose1 w:val="020B0A04020102020204"/>
    <w:charset w:val="00"/>
    <w:family w:val="swiss"/>
    <w:pitch w:val="default"/>
    <w:sig w:usb0="00000000" w:usb1="00000000" w:usb2="00000000" w:usb3="00000000" w:csb0="0000009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806000000020004"/>
    <w:charset w:val="00"/>
    <w:family w:val="auto"/>
    <w:pitch w:val="default"/>
    <w:sig w:usb0="A00002FF" w:usb1="5000205A"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Kingsoft Confetti">
    <w:panose1 w:val="05000000000000000000"/>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34FC3">
    <w:pPr>
      <w:pStyle w:val="19"/>
      <w:framePr w:wrap="around" w:vAnchor="text" w:hAnchor="margin" w:xAlign="center" w:y="1"/>
      <w:ind w:firstLine="480"/>
      <w:rPr>
        <w:rStyle w:val="30"/>
      </w:rPr>
    </w:pPr>
    <w:r>
      <w:fldChar w:fldCharType="begin"/>
    </w:r>
    <w:r>
      <w:rPr>
        <w:rStyle w:val="30"/>
      </w:rPr>
      <w:instrText xml:space="preserve">PAGE  </w:instrText>
    </w:r>
    <w:r>
      <w:fldChar w:fldCharType="separate"/>
    </w:r>
    <w:r>
      <w:rPr>
        <w:rStyle w:val="30"/>
      </w:rPr>
      <w:t>5</w:t>
    </w:r>
    <w:r>
      <w:fldChar w:fldCharType="end"/>
    </w:r>
  </w:p>
  <w:p w14:paraId="00A7D6D5">
    <w:pPr>
      <w:pStyle w:val="1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EB92D">
    <w:pPr>
      <w:pStyle w:val="19"/>
      <w:framePr w:wrap="around" w:vAnchor="text" w:hAnchor="margin" w:xAlign="center" w:y="1"/>
      <w:ind w:firstLine="480"/>
      <w:rPr>
        <w:rStyle w:val="30"/>
      </w:rPr>
    </w:pPr>
    <w:r>
      <w:fldChar w:fldCharType="begin"/>
    </w:r>
    <w:r>
      <w:rPr>
        <w:rStyle w:val="30"/>
      </w:rPr>
      <w:instrText xml:space="preserve">PAGE  </w:instrText>
    </w:r>
    <w:r>
      <w:fldChar w:fldCharType="end"/>
    </w:r>
  </w:p>
  <w:p w14:paraId="0312EDDC">
    <w:pPr>
      <w:pStyle w:val="19"/>
      <w:ind w:right="360" w:firstLine="47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60EE0">
    <w:pPr>
      <w:pStyle w:val="19"/>
      <w:ind w:left="476" w:right="360" w:firstLine="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C4F84">
    <w:pPr>
      <w:pStyle w:val="19"/>
      <w:framePr w:wrap="around" w:vAnchor="text" w:hAnchor="margin" w:xAlign="right" w:y="1"/>
      <w:ind w:firstLine="476"/>
      <w:rPr>
        <w:rStyle w:val="30"/>
      </w:rPr>
    </w:pPr>
  </w:p>
  <w:p w14:paraId="12836701">
    <w:pPr>
      <w:pStyle w:val="19"/>
      <w:ind w:right="360" w:firstLine="0" w:firstLineChars="0"/>
    </w:pPr>
    <w:r>
      <w:fldChar w:fldCharType="begin"/>
    </w:r>
    <w:r>
      <w:rPr>
        <w:rStyle w:val="30"/>
      </w:rPr>
      <w:instrText xml:space="preserve"> PAGE </w:instrText>
    </w:r>
    <w:r>
      <w:fldChar w:fldCharType="separate"/>
    </w:r>
    <w:r>
      <w:rPr>
        <w:rStyle w:val="30"/>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6A418">
    <w:pPr>
      <w:pStyle w:val="19"/>
      <w:ind w:firstLine="47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72"/>
      </w:pPr>
      <w:r>
        <w:separator/>
      </w:r>
    </w:p>
  </w:footnote>
  <w:footnote w:type="continuationSeparator" w:id="1">
    <w:p>
      <w:pPr>
        <w:spacing w:line="300" w:lineRule="auto"/>
        <w:ind w:firstLine="47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4656E">
    <w:pPr>
      <w:pStyle w:val="20"/>
      <w:ind w:firstLine="47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67E03">
    <w:pPr>
      <w:pStyle w:val="20"/>
      <w:ind w:firstLine="47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AD002">
    <w:pPr>
      <w:pStyle w:val="20"/>
      <w:ind w:firstLine="47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81D56">
    <w:pPr>
      <w:pStyle w:val="20"/>
      <w:ind w:firstLine="47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782B1">
    <w:pPr>
      <w:pStyle w:val="20"/>
      <w:ind w:right="-1192" w:rightChars="-505" w:firstLine="476"/>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F80F8">
    <w:pPr>
      <w:widowControl w:val="0"/>
      <w:pBdr>
        <w:bottom w:val="single" w:color="auto" w:sz="6" w:space="1"/>
      </w:pBdr>
      <w:tabs>
        <w:tab w:val="center" w:pos="4153"/>
        <w:tab w:val="right" w:pos="8306"/>
        <w:tab w:val="clear" w:pos="8640"/>
      </w:tabs>
      <w:snapToGrid w:val="0"/>
      <w:spacing w:line="240" w:lineRule="auto"/>
      <w:ind w:firstLine="0" w:firstLineChars="0"/>
      <w:jc w:val="center"/>
      <w:rPr>
        <w:spacing w:val="0"/>
        <w:kern w:val="2"/>
        <w:sz w:val="18"/>
        <w:szCs w:val="18"/>
      </w:rPr>
    </w:pPr>
    <w:r>
      <w:rPr>
        <w:rFonts w:hint="eastAsia"/>
        <w:kern w:val="2"/>
        <w:sz w:val="18"/>
        <w:szCs w:val="18"/>
      </w:rPr>
      <w:t>河南财经政法政法大学硕士研究生课程论文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4A59A">
    <w:pPr>
      <w:pStyle w:val="53"/>
    </w:pPr>
    <w:r>
      <w:fldChar w:fldCharType="begin"/>
    </w:r>
    <w:r>
      <w:instrText xml:space="preserve"> </w:instrText>
    </w:r>
    <w:r>
      <w:rPr>
        <w:rFonts w:hint="eastAsia"/>
      </w:rPr>
      <w:instrText xml:space="preserve">MACROBUTTON  AcceptAllChangesInDoc 双击此处键入本章题目</w:instrText>
    </w:r>
    <w:r>
      <w:instrText xml:space="preserve"> </w:instrText>
    </w:r>
    <w:r>
      <w:fldChar w:fldCharType="separate"/>
    </w:r>
    <w:r>
      <w:rPr>
        <w:rFonts w:hint="eastAsia"/>
        <w:b/>
        <w:bCs/>
      </w:rPr>
      <w:t>错误！未找到引用源。</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5459C"/>
    <w:multiLevelType w:val="multilevel"/>
    <w:tmpl w:val="20D5459C"/>
    <w:lvl w:ilvl="0" w:tentative="0">
      <w:start w:val="1"/>
      <w:numFmt w:val="decimal"/>
      <w:pStyle w:val="4"/>
      <w:suff w:val="space"/>
      <w:lvlText w:val="%1"/>
      <w:lvlJc w:val="left"/>
      <w:pPr>
        <w:ind w:left="4537" w:firstLine="0"/>
      </w:pPr>
      <w:rPr>
        <w:rFonts w:hint="eastAsia"/>
      </w:rPr>
    </w:lvl>
    <w:lvl w:ilvl="1" w:tentative="0">
      <w:start w:val="1"/>
      <w:numFmt w:val="decimal"/>
      <w:pStyle w:val="5"/>
      <w:suff w:val="space"/>
      <w:lvlText w:val="%1.%2"/>
      <w:lvlJc w:val="left"/>
      <w:pPr>
        <w:ind w:left="0" w:firstLine="0"/>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589347DA"/>
    <w:multiLevelType w:val="multilevel"/>
    <w:tmpl w:val="589347D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19"/>
  <w:drawingGridHorizontalSpacing w:val="119"/>
  <w:drawingGridVerticalSpacing w:val="163"/>
  <w:displayHorizontalDrawingGridEvery w:val="2"/>
  <w:displayVerticalDrawingGridEvery w:val="2"/>
  <w:noPunctuationKerning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449"/>
    <w:rsid w:val="000033DB"/>
    <w:rsid w:val="00017360"/>
    <w:rsid w:val="000234DC"/>
    <w:rsid w:val="00033230"/>
    <w:rsid w:val="0003433E"/>
    <w:rsid w:val="00035246"/>
    <w:rsid w:val="00035581"/>
    <w:rsid w:val="00041807"/>
    <w:rsid w:val="00044124"/>
    <w:rsid w:val="00057B93"/>
    <w:rsid w:val="00061785"/>
    <w:rsid w:val="00063220"/>
    <w:rsid w:val="00064900"/>
    <w:rsid w:val="00074DA4"/>
    <w:rsid w:val="00075BA5"/>
    <w:rsid w:val="000771CB"/>
    <w:rsid w:val="00086D18"/>
    <w:rsid w:val="00087EC3"/>
    <w:rsid w:val="00093D47"/>
    <w:rsid w:val="0009535D"/>
    <w:rsid w:val="000C4518"/>
    <w:rsid w:val="000D475C"/>
    <w:rsid w:val="000D6C34"/>
    <w:rsid w:val="000F19B8"/>
    <w:rsid w:val="0011245A"/>
    <w:rsid w:val="00117B35"/>
    <w:rsid w:val="00125FBF"/>
    <w:rsid w:val="001260BE"/>
    <w:rsid w:val="001360E9"/>
    <w:rsid w:val="00145CC3"/>
    <w:rsid w:val="00164C47"/>
    <w:rsid w:val="00172A27"/>
    <w:rsid w:val="00174DFF"/>
    <w:rsid w:val="00183C0D"/>
    <w:rsid w:val="00185CF5"/>
    <w:rsid w:val="00187DF0"/>
    <w:rsid w:val="00193207"/>
    <w:rsid w:val="001949C6"/>
    <w:rsid w:val="00196827"/>
    <w:rsid w:val="001A3F16"/>
    <w:rsid w:val="001A7AEA"/>
    <w:rsid w:val="001B431E"/>
    <w:rsid w:val="001C4E75"/>
    <w:rsid w:val="001C679B"/>
    <w:rsid w:val="001D1C26"/>
    <w:rsid w:val="001E0CE9"/>
    <w:rsid w:val="001E5CF9"/>
    <w:rsid w:val="001E7F39"/>
    <w:rsid w:val="001F0B67"/>
    <w:rsid w:val="001F14E3"/>
    <w:rsid w:val="001F3A4D"/>
    <w:rsid w:val="001F4CEC"/>
    <w:rsid w:val="001F7B09"/>
    <w:rsid w:val="00201B29"/>
    <w:rsid w:val="002034A3"/>
    <w:rsid w:val="00204C75"/>
    <w:rsid w:val="00227DE6"/>
    <w:rsid w:val="00227E45"/>
    <w:rsid w:val="00242E33"/>
    <w:rsid w:val="00251A24"/>
    <w:rsid w:val="00256BF5"/>
    <w:rsid w:val="00264DBC"/>
    <w:rsid w:val="0027294F"/>
    <w:rsid w:val="002801DB"/>
    <w:rsid w:val="00285DE0"/>
    <w:rsid w:val="00291400"/>
    <w:rsid w:val="002A017F"/>
    <w:rsid w:val="002A45BA"/>
    <w:rsid w:val="002B7235"/>
    <w:rsid w:val="002C47E1"/>
    <w:rsid w:val="002D5AA0"/>
    <w:rsid w:val="002D6519"/>
    <w:rsid w:val="002D73FF"/>
    <w:rsid w:val="002E1460"/>
    <w:rsid w:val="002E2BA3"/>
    <w:rsid w:val="002F4165"/>
    <w:rsid w:val="002F4CF2"/>
    <w:rsid w:val="002F546F"/>
    <w:rsid w:val="002F66F4"/>
    <w:rsid w:val="002F7F28"/>
    <w:rsid w:val="00300553"/>
    <w:rsid w:val="00306CB3"/>
    <w:rsid w:val="003149C6"/>
    <w:rsid w:val="00317E4E"/>
    <w:rsid w:val="00322CB4"/>
    <w:rsid w:val="00324A76"/>
    <w:rsid w:val="00332C06"/>
    <w:rsid w:val="00354AEE"/>
    <w:rsid w:val="00371E9C"/>
    <w:rsid w:val="003723BE"/>
    <w:rsid w:val="00373C3D"/>
    <w:rsid w:val="003808DA"/>
    <w:rsid w:val="003914C7"/>
    <w:rsid w:val="00392ED0"/>
    <w:rsid w:val="00395BEE"/>
    <w:rsid w:val="003A3013"/>
    <w:rsid w:val="003A43D6"/>
    <w:rsid w:val="003A7DEF"/>
    <w:rsid w:val="003B1AE6"/>
    <w:rsid w:val="003C75C3"/>
    <w:rsid w:val="003D2772"/>
    <w:rsid w:val="003E626B"/>
    <w:rsid w:val="003E70E9"/>
    <w:rsid w:val="003E71D7"/>
    <w:rsid w:val="003E7B05"/>
    <w:rsid w:val="00401E56"/>
    <w:rsid w:val="004038A6"/>
    <w:rsid w:val="00403E72"/>
    <w:rsid w:val="00404F5B"/>
    <w:rsid w:val="00405C86"/>
    <w:rsid w:val="004117AF"/>
    <w:rsid w:val="004134E2"/>
    <w:rsid w:val="004157FC"/>
    <w:rsid w:val="00427008"/>
    <w:rsid w:val="004305C3"/>
    <w:rsid w:val="00432D1C"/>
    <w:rsid w:val="00440FD0"/>
    <w:rsid w:val="004440FE"/>
    <w:rsid w:val="00454A7F"/>
    <w:rsid w:val="0046590E"/>
    <w:rsid w:val="00473594"/>
    <w:rsid w:val="00493201"/>
    <w:rsid w:val="00493661"/>
    <w:rsid w:val="0049443A"/>
    <w:rsid w:val="00494FAA"/>
    <w:rsid w:val="004A323D"/>
    <w:rsid w:val="004A34F8"/>
    <w:rsid w:val="004B587D"/>
    <w:rsid w:val="004B59DE"/>
    <w:rsid w:val="004B71C3"/>
    <w:rsid w:val="004C1D07"/>
    <w:rsid w:val="004C34EE"/>
    <w:rsid w:val="004C569E"/>
    <w:rsid w:val="004D2000"/>
    <w:rsid w:val="004D3088"/>
    <w:rsid w:val="004D30DD"/>
    <w:rsid w:val="004D65B8"/>
    <w:rsid w:val="004F1B89"/>
    <w:rsid w:val="00502F3C"/>
    <w:rsid w:val="00503870"/>
    <w:rsid w:val="00507A46"/>
    <w:rsid w:val="005138A3"/>
    <w:rsid w:val="005163C4"/>
    <w:rsid w:val="005172FD"/>
    <w:rsid w:val="00534B39"/>
    <w:rsid w:val="00542BEF"/>
    <w:rsid w:val="00543E47"/>
    <w:rsid w:val="00545A79"/>
    <w:rsid w:val="0056313B"/>
    <w:rsid w:val="00570494"/>
    <w:rsid w:val="00570529"/>
    <w:rsid w:val="00572CCE"/>
    <w:rsid w:val="00577007"/>
    <w:rsid w:val="00587300"/>
    <w:rsid w:val="005927DA"/>
    <w:rsid w:val="00596F1E"/>
    <w:rsid w:val="00597637"/>
    <w:rsid w:val="005A49AF"/>
    <w:rsid w:val="005B32BE"/>
    <w:rsid w:val="005B4C5F"/>
    <w:rsid w:val="005B6245"/>
    <w:rsid w:val="005C514A"/>
    <w:rsid w:val="005D1463"/>
    <w:rsid w:val="005E53AE"/>
    <w:rsid w:val="005E6699"/>
    <w:rsid w:val="005E7CFE"/>
    <w:rsid w:val="005F15A6"/>
    <w:rsid w:val="005F1EE6"/>
    <w:rsid w:val="005F38DF"/>
    <w:rsid w:val="005F38EA"/>
    <w:rsid w:val="005F763B"/>
    <w:rsid w:val="0060537B"/>
    <w:rsid w:val="00606719"/>
    <w:rsid w:val="0062576A"/>
    <w:rsid w:val="00632345"/>
    <w:rsid w:val="0063519E"/>
    <w:rsid w:val="00637B54"/>
    <w:rsid w:val="006466C6"/>
    <w:rsid w:val="00653940"/>
    <w:rsid w:val="00655F0A"/>
    <w:rsid w:val="00656F0C"/>
    <w:rsid w:val="00660D53"/>
    <w:rsid w:val="00663C9C"/>
    <w:rsid w:val="006678F7"/>
    <w:rsid w:val="00673C48"/>
    <w:rsid w:val="00682FEF"/>
    <w:rsid w:val="00686240"/>
    <w:rsid w:val="006A70FE"/>
    <w:rsid w:val="006B2C82"/>
    <w:rsid w:val="006B32CE"/>
    <w:rsid w:val="006B6A5D"/>
    <w:rsid w:val="006B6D5B"/>
    <w:rsid w:val="006C38C7"/>
    <w:rsid w:val="006C535A"/>
    <w:rsid w:val="006D0D15"/>
    <w:rsid w:val="006D3037"/>
    <w:rsid w:val="006E0F6E"/>
    <w:rsid w:val="006E76BA"/>
    <w:rsid w:val="006F28C5"/>
    <w:rsid w:val="006F2E26"/>
    <w:rsid w:val="006F4492"/>
    <w:rsid w:val="00701780"/>
    <w:rsid w:val="00701DE5"/>
    <w:rsid w:val="0070668D"/>
    <w:rsid w:val="00710095"/>
    <w:rsid w:val="00715741"/>
    <w:rsid w:val="00724E73"/>
    <w:rsid w:val="00734344"/>
    <w:rsid w:val="007412EC"/>
    <w:rsid w:val="00744F77"/>
    <w:rsid w:val="00747B96"/>
    <w:rsid w:val="00751D28"/>
    <w:rsid w:val="00752181"/>
    <w:rsid w:val="00753DCA"/>
    <w:rsid w:val="0075768E"/>
    <w:rsid w:val="00767955"/>
    <w:rsid w:val="00772BBA"/>
    <w:rsid w:val="00775E1F"/>
    <w:rsid w:val="00784C3F"/>
    <w:rsid w:val="00785E75"/>
    <w:rsid w:val="007A024F"/>
    <w:rsid w:val="007A2554"/>
    <w:rsid w:val="007A2691"/>
    <w:rsid w:val="007A3F56"/>
    <w:rsid w:val="007A55DB"/>
    <w:rsid w:val="007A75C2"/>
    <w:rsid w:val="007A7B28"/>
    <w:rsid w:val="007C37B4"/>
    <w:rsid w:val="007C684A"/>
    <w:rsid w:val="007D0B3D"/>
    <w:rsid w:val="007D1FBE"/>
    <w:rsid w:val="007D50C5"/>
    <w:rsid w:val="007E3733"/>
    <w:rsid w:val="007F1A92"/>
    <w:rsid w:val="00805D1B"/>
    <w:rsid w:val="00807277"/>
    <w:rsid w:val="00816F5F"/>
    <w:rsid w:val="00823857"/>
    <w:rsid w:val="00827856"/>
    <w:rsid w:val="00837D42"/>
    <w:rsid w:val="0084763B"/>
    <w:rsid w:val="00863D84"/>
    <w:rsid w:val="00881770"/>
    <w:rsid w:val="00885A89"/>
    <w:rsid w:val="0089393D"/>
    <w:rsid w:val="00894DBD"/>
    <w:rsid w:val="008970B3"/>
    <w:rsid w:val="008A05E8"/>
    <w:rsid w:val="008A0EC8"/>
    <w:rsid w:val="008A3B50"/>
    <w:rsid w:val="008A43A1"/>
    <w:rsid w:val="008B10FE"/>
    <w:rsid w:val="008C6B76"/>
    <w:rsid w:val="008C6E2F"/>
    <w:rsid w:val="008D0394"/>
    <w:rsid w:val="008D308D"/>
    <w:rsid w:val="008D4B87"/>
    <w:rsid w:val="008E2DDF"/>
    <w:rsid w:val="008F6D53"/>
    <w:rsid w:val="008F7965"/>
    <w:rsid w:val="00901761"/>
    <w:rsid w:val="00902FD6"/>
    <w:rsid w:val="00903004"/>
    <w:rsid w:val="00905392"/>
    <w:rsid w:val="0091010A"/>
    <w:rsid w:val="00911DA5"/>
    <w:rsid w:val="00912082"/>
    <w:rsid w:val="00917FE7"/>
    <w:rsid w:val="009207A4"/>
    <w:rsid w:val="00921510"/>
    <w:rsid w:val="00921978"/>
    <w:rsid w:val="00926720"/>
    <w:rsid w:val="00931005"/>
    <w:rsid w:val="00933BE8"/>
    <w:rsid w:val="0093661C"/>
    <w:rsid w:val="00943ECC"/>
    <w:rsid w:val="0095018F"/>
    <w:rsid w:val="00952D45"/>
    <w:rsid w:val="00953165"/>
    <w:rsid w:val="00955ABA"/>
    <w:rsid w:val="00956381"/>
    <w:rsid w:val="009564D3"/>
    <w:rsid w:val="009600ED"/>
    <w:rsid w:val="00974C7A"/>
    <w:rsid w:val="0097585C"/>
    <w:rsid w:val="00976F83"/>
    <w:rsid w:val="00980000"/>
    <w:rsid w:val="00995B58"/>
    <w:rsid w:val="00996C78"/>
    <w:rsid w:val="009B00FB"/>
    <w:rsid w:val="009B09E0"/>
    <w:rsid w:val="009B64A2"/>
    <w:rsid w:val="009B70F5"/>
    <w:rsid w:val="009B7B3A"/>
    <w:rsid w:val="009C019B"/>
    <w:rsid w:val="009C3D26"/>
    <w:rsid w:val="009C6F57"/>
    <w:rsid w:val="009C73E4"/>
    <w:rsid w:val="009D7C9E"/>
    <w:rsid w:val="009F162F"/>
    <w:rsid w:val="009F6498"/>
    <w:rsid w:val="00A001CA"/>
    <w:rsid w:val="00A03D78"/>
    <w:rsid w:val="00A10CC1"/>
    <w:rsid w:val="00A11D0D"/>
    <w:rsid w:val="00A126F6"/>
    <w:rsid w:val="00A233F5"/>
    <w:rsid w:val="00A31F87"/>
    <w:rsid w:val="00A33851"/>
    <w:rsid w:val="00A34467"/>
    <w:rsid w:val="00A3482C"/>
    <w:rsid w:val="00A53312"/>
    <w:rsid w:val="00A5478F"/>
    <w:rsid w:val="00A62490"/>
    <w:rsid w:val="00A67241"/>
    <w:rsid w:val="00A73A55"/>
    <w:rsid w:val="00A73A8A"/>
    <w:rsid w:val="00A743D6"/>
    <w:rsid w:val="00A768E1"/>
    <w:rsid w:val="00A76C81"/>
    <w:rsid w:val="00A84531"/>
    <w:rsid w:val="00A84D12"/>
    <w:rsid w:val="00A85C59"/>
    <w:rsid w:val="00A90F40"/>
    <w:rsid w:val="00AA7C30"/>
    <w:rsid w:val="00AB1386"/>
    <w:rsid w:val="00AB5D9A"/>
    <w:rsid w:val="00AB6A1F"/>
    <w:rsid w:val="00AC0260"/>
    <w:rsid w:val="00AC2A4B"/>
    <w:rsid w:val="00AC436B"/>
    <w:rsid w:val="00AE49E6"/>
    <w:rsid w:val="00AE4E2C"/>
    <w:rsid w:val="00AE67B4"/>
    <w:rsid w:val="00AE6E44"/>
    <w:rsid w:val="00AE781D"/>
    <w:rsid w:val="00AF03AA"/>
    <w:rsid w:val="00AF1470"/>
    <w:rsid w:val="00AF4283"/>
    <w:rsid w:val="00B01614"/>
    <w:rsid w:val="00B019EB"/>
    <w:rsid w:val="00B03FE1"/>
    <w:rsid w:val="00B05630"/>
    <w:rsid w:val="00B0606A"/>
    <w:rsid w:val="00B141F7"/>
    <w:rsid w:val="00B209B1"/>
    <w:rsid w:val="00B33B80"/>
    <w:rsid w:val="00B36736"/>
    <w:rsid w:val="00B369ED"/>
    <w:rsid w:val="00B36B0E"/>
    <w:rsid w:val="00B45719"/>
    <w:rsid w:val="00B46207"/>
    <w:rsid w:val="00B518E4"/>
    <w:rsid w:val="00B5227C"/>
    <w:rsid w:val="00B56805"/>
    <w:rsid w:val="00B576B5"/>
    <w:rsid w:val="00B816DC"/>
    <w:rsid w:val="00B83D9B"/>
    <w:rsid w:val="00B8768B"/>
    <w:rsid w:val="00B926EE"/>
    <w:rsid w:val="00B97213"/>
    <w:rsid w:val="00BA2098"/>
    <w:rsid w:val="00BA2FB6"/>
    <w:rsid w:val="00BA5DB5"/>
    <w:rsid w:val="00BB2449"/>
    <w:rsid w:val="00BB456C"/>
    <w:rsid w:val="00BE7687"/>
    <w:rsid w:val="00BF36CB"/>
    <w:rsid w:val="00BF519F"/>
    <w:rsid w:val="00C01618"/>
    <w:rsid w:val="00C0432C"/>
    <w:rsid w:val="00C04C31"/>
    <w:rsid w:val="00C10972"/>
    <w:rsid w:val="00C10C98"/>
    <w:rsid w:val="00C118A3"/>
    <w:rsid w:val="00C23719"/>
    <w:rsid w:val="00C31BB0"/>
    <w:rsid w:val="00C446A6"/>
    <w:rsid w:val="00C46243"/>
    <w:rsid w:val="00C4733B"/>
    <w:rsid w:val="00C563F4"/>
    <w:rsid w:val="00C62151"/>
    <w:rsid w:val="00C705B0"/>
    <w:rsid w:val="00C74EC6"/>
    <w:rsid w:val="00C74F83"/>
    <w:rsid w:val="00C834BA"/>
    <w:rsid w:val="00C83EF5"/>
    <w:rsid w:val="00C8439D"/>
    <w:rsid w:val="00C86E7D"/>
    <w:rsid w:val="00C92966"/>
    <w:rsid w:val="00C944C4"/>
    <w:rsid w:val="00C95541"/>
    <w:rsid w:val="00CA1825"/>
    <w:rsid w:val="00CA1E14"/>
    <w:rsid w:val="00CB22A8"/>
    <w:rsid w:val="00CB4BC3"/>
    <w:rsid w:val="00CC3F10"/>
    <w:rsid w:val="00CC73C9"/>
    <w:rsid w:val="00CD7F10"/>
    <w:rsid w:val="00CF0EAF"/>
    <w:rsid w:val="00D013EA"/>
    <w:rsid w:val="00D12254"/>
    <w:rsid w:val="00D22C30"/>
    <w:rsid w:val="00D241CC"/>
    <w:rsid w:val="00D26274"/>
    <w:rsid w:val="00D26393"/>
    <w:rsid w:val="00D30E3E"/>
    <w:rsid w:val="00D34DC7"/>
    <w:rsid w:val="00D426C2"/>
    <w:rsid w:val="00D43700"/>
    <w:rsid w:val="00D45DFB"/>
    <w:rsid w:val="00D53186"/>
    <w:rsid w:val="00D618D1"/>
    <w:rsid w:val="00D645D0"/>
    <w:rsid w:val="00D64CC3"/>
    <w:rsid w:val="00D66A43"/>
    <w:rsid w:val="00D72EEB"/>
    <w:rsid w:val="00D73B0C"/>
    <w:rsid w:val="00D82297"/>
    <w:rsid w:val="00D83409"/>
    <w:rsid w:val="00D83FD0"/>
    <w:rsid w:val="00D93A15"/>
    <w:rsid w:val="00D95212"/>
    <w:rsid w:val="00D96696"/>
    <w:rsid w:val="00DB08AD"/>
    <w:rsid w:val="00DB3AB4"/>
    <w:rsid w:val="00DB3ACB"/>
    <w:rsid w:val="00DC0CDF"/>
    <w:rsid w:val="00DD45EF"/>
    <w:rsid w:val="00DD741E"/>
    <w:rsid w:val="00DE2359"/>
    <w:rsid w:val="00DF4A4E"/>
    <w:rsid w:val="00DF53E6"/>
    <w:rsid w:val="00DF5EFE"/>
    <w:rsid w:val="00E01D23"/>
    <w:rsid w:val="00E0227A"/>
    <w:rsid w:val="00E15CAE"/>
    <w:rsid w:val="00E25E29"/>
    <w:rsid w:val="00E26674"/>
    <w:rsid w:val="00E26E3E"/>
    <w:rsid w:val="00E2719C"/>
    <w:rsid w:val="00E35025"/>
    <w:rsid w:val="00E40404"/>
    <w:rsid w:val="00E4054E"/>
    <w:rsid w:val="00E42B92"/>
    <w:rsid w:val="00E51B2E"/>
    <w:rsid w:val="00E57735"/>
    <w:rsid w:val="00E65564"/>
    <w:rsid w:val="00E66B39"/>
    <w:rsid w:val="00E72351"/>
    <w:rsid w:val="00E7388D"/>
    <w:rsid w:val="00E7659D"/>
    <w:rsid w:val="00E7660F"/>
    <w:rsid w:val="00E86433"/>
    <w:rsid w:val="00E94D1F"/>
    <w:rsid w:val="00EA1FB9"/>
    <w:rsid w:val="00EA443D"/>
    <w:rsid w:val="00EA56B7"/>
    <w:rsid w:val="00EB61CD"/>
    <w:rsid w:val="00EC0AAC"/>
    <w:rsid w:val="00EC37C6"/>
    <w:rsid w:val="00ED5919"/>
    <w:rsid w:val="00ED7059"/>
    <w:rsid w:val="00EE6A04"/>
    <w:rsid w:val="00EF2F85"/>
    <w:rsid w:val="00F01821"/>
    <w:rsid w:val="00F05A4D"/>
    <w:rsid w:val="00F07956"/>
    <w:rsid w:val="00F222D1"/>
    <w:rsid w:val="00F26111"/>
    <w:rsid w:val="00F315AC"/>
    <w:rsid w:val="00F315AE"/>
    <w:rsid w:val="00F315E1"/>
    <w:rsid w:val="00F332E3"/>
    <w:rsid w:val="00F359B3"/>
    <w:rsid w:val="00F359BB"/>
    <w:rsid w:val="00F423ED"/>
    <w:rsid w:val="00F437A4"/>
    <w:rsid w:val="00F47694"/>
    <w:rsid w:val="00F50913"/>
    <w:rsid w:val="00F519E6"/>
    <w:rsid w:val="00F54CB3"/>
    <w:rsid w:val="00F645FD"/>
    <w:rsid w:val="00F65BA8"/>
    <w:rsid w:val="00F7527E"/>
    <w:rsid w:val="00F8148F"/>
    <w:rsid w:val="00F83F8C"/>
    <w:rsid w:val="00FB2178"/>
    <w:rsid w:val="00FB31B3"/>
    <w:rsid w:val="00FB5667"/>
    <w:rsid w:val="00FC041A"/>
    <w:rsid w:val="00FD3242"/>
    <w:rsid w:val="00FE2C9C"/>
    <w:rsid w:val="00FE4D6F"/>
    <w:rsid w:val="00FE5608"/>
    <w:rsid w:val="00FF2987"/>
    <w:rsid w:val="1FFF2672"/>
    <w:rsid w:val="426230E2"/>
    <w:rsid w:val="75FD6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right" w:pos="8640"/>
      </w:tabs>
      <w:spacing w:line="300" w:lineRule="auto"/>
      <w:ind w:firstLine="200" w:firstLineChars="200"/>
      <w:jc w:val="both"/>
    </w:pPr>
    <w:rPr>
      <w:rFonts w:ascii="Times New Roman" w:hAnsi="Times New Roman" w:eastAsia="宋体" w:cs="Times New Roman"/>
      <w:spacing w:val="-2"/>
      <w:sz w:val="24"/>
      <w:lang w:val="en-US" w:eastAsia="zh-CN" w:bidi="ar-SA"/>
    </w:rPr>
  </w:style>
  <w:style w:type="paragraph" w:styleId="4">
    <w:name w:val="heading 1"/>
    <w:next w:val="3"/>
    <w:qFormat/>
    <w:uiPriority w:val="0"/>
    <w:pPr>
      <w:keepNext/>
      <w:numPr>
        <w:ilvl w:val="0"/>
        <w:numId w:val="1"/>
      </w:numPr>
      <w:spacing w:before="100" w:beforeLines="100" w:after="100" w:afterLines="100" w:line="300" w:lineRule="auto"/>
      <w:jc w:val="center"/>
      <w:outlineLvl w:val="0"/>
    </w:pPr>
    <w:rPr>
      <w:rFonts w:ascii="Arial" w:hAnsi="Arial" w:eastAsia="黑体" w:cs="Times New Roman"/>
      <w:spacing w:val="-2"/>
      <w:sz w:val="32"/>
      <w:lang w:val="en-US" w:eastAsia="zh-CN" w:bidi="ar-SA"/>
    </w:rPr>
  </w:style>
  <w:style w:type="paragraph" w:styleId="5">
    <w:name w:val="heading 2"/>
    <w:next w:val="3"/>
    <w:qFormat/>
    <w:uiPriority w:val="0"/>
    <w:pPr>
      <w:keepNext/>
      <w:numPr>
        <w:ilvl w:val="1"/>
        <w:numId w:val="1"/>
      </w:numPr>
      <w:spacing w:before="100" w:beforeLines="100" w:after="100" w:afterLines="100" w:line="300" w:lineRule="auto"/>
      <w:outlineLvl w:val="1"/>
    </w:pPr>
    <w:rPr>
      <w:rFonts w:ascii="Arial" w:hAnsi="Arial" w:eastAsia="宋体" w:cs="Times New Roman"/>
      <w:b/>
      <w:spacing w:val="-2"/>
      <w:kern w:val="28"/>
      <w:sz w:val="24"/>
      <w:lang w:val="en-US" w:eastAsia="zh-CN" w:bidi="ar-SA"/>
    </w:rPr>
  </w:style>
  <w:style w:type="paragraph" w:styleId="6">
    <w:name w:val="heading 3"/>
    <w:basedOn w:val="1"/>
    <w:next w:val="3"/>
    <w:qFormat/>
    <w:uiPriority w:val="0"/>
    <w:pPr>
      <w:keepNext/>
      <w:spacing w:line="360" w:lineRule="auto"/>
      <w:jc w:val="left"/>
      <w:outlineLvl w:val="2"/>
    </w:pPr>
    <w:rPr>
      <w:i/>
      <w:spacing w:val="0"/>
      <w:kern w:val="28"/>
    </w:rPr>
  </w:style>
  <w:style w:type="paragraph" w:styleId="7">
    <w:name w:val="heading 4"/>
    <w:basedOn w:val="1"/>
    <w:next w:val="3"/>
    <w:qFormat/>
    <w:uiPriority w:val="0"/>
    <w:pPr>
      <w:keepNext/>
      <w:spacing w:line="360" w:lineRule="auto"/>
      <w:jc w:val="left"/>
      <w:outlineLvl w:val="3"/>
    </w:pPr>
    <w:rPr>
      <w:i/>
      <w:spacing w:val="0"/>
      <w:kern w:val="28"/>
    </w:rPr>
  </w:style>
  <w:style w:type="paragraph" w:styleId="8">
    <w:name w:val="heading 5"/>
    <w:basedOn w:val="1"/>
    <w:next w:val="3"/>
    <w:qFormat/>
    <w:uiPriority w:val="0"/>
    <w:pPr>
      <w:keepNext/>
      <w:spacing w:line="360" w:lineRule="auto"/>
      <w:jc w:val="center"/>
      <w:outlineLvl w:val="4"/>
    </w:pPr>
    <w:rPr>
      <w:i/>
      <w:spacing w:val="0"/>
      <w:kern w:val="28"/>
    </w:rPr>
  </w:style>
  <w:style w:type="paragraph" w:styleId="9">
    <w:name w:val="heading 6"/>
    <w:basedOn w:val="1"/>
    <w:next w:val="3"/>
    <w:qFormat/>
    <w:uiPriority w:val="0"/>
    <w:pPr>
      <w:keepNext/>
      <w:spacing w:before="120" w:after="80"/>
      <w:jc w:val="center"/>
      <w:outlineLvl w:val="5"/>
    </w:pPr>
    <w:rPr>
      <w:smallCaps/>
      <w:spacing w:val="20"/>
      <w:kern w:val="28"/>
    </w:rPr>
  </w:style>
  <w:style w:type="paragraph" w:styleId="10">
    <w:name w:val="heading 7"/>
    <w:basedOn w:val="1"/>
    <w:next w:val="3"/>
    <w:qFormat/>
    <w:uiPriority w:val="0"/>
    <w:pPr>
      <w:keepNext/>
      <w:spacing w:before="80" w:after="60"/>
      <w:outlineLvl w:val="6"/>
    </w:pPr>
    <w:rPr>
      <w:caps/>
      <w:spacing w:val="0"/>
      <w:kern w:val="28"/>
    </w:rPr>
  </w:style>
  <w:style w:type="paragraph" w:styleId="11">
    <w:name w:val="heading 8"/>
    <w:basedOn w:val="1"/>
    <w:next w:val="3"/>
    <w:qFormat/>
    <w:uiPriority w:val="0"/>
    <w:pPr>
      <w:keepNext/>
      <w:spacing w:line="360" w:lineRule="auto"/>
      <w:jc w:val="center"/>
      <w:outlineLvl w:val="7"/>
    </w:pPr>
    <w:rPr>
      <w:kern w:val="28"/>
    </w:rPr>
  </w:style>
  <w:style w:type="paragraph" w:styleId="12">
    <w:name w:val="heading 9"/>
    <w:basedOn w:val="1"/>
    <w:next w:val="3"/>
    <w:qFormat/>
    <w:uiPriority w:val="0"/>
    <w:pPr>
      <w:keepNext/>
      <w:spacing w:line="360" w:lineRule="auto"/>
      <w:jc w:val="left"/>
      <w:outlineLvl w:val="8"/>
    </w:pPr>
    <w:rPr>
      <w:kern w:val="28"/>
    </w:rPr>
  </w:style>
  <w:style w:type="character" w:default="1" w:styleId="28">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2">
    <w:name w:val="macro"/>
    <w:basedOn w:val="3"/>
    <w:uiPriority w:val="0"/>
    <w:pPr>
      <w:tabs>
        <w:tab w:val="right" w:pos="8640"/>
      </w:tabs>
      <w:spacing w:after="120" w:line="240" w:lineRule="auto"/>
    </w:pPr>
    <w:rPr>
      <w:rFonts w:ascii="Courier New" w:hAnsi="Courier New"/>
    </w:rPr>
  </w:style>
  <w:style w:type="paragraph" w:styleId="3">
    <w:name w:val="Body Text"/>
    <w:basedOn w:val="1"/>
    <w:uiPriority w:val="0"/>
    <w:pPr>
      <w:spacing w:after="280" w:line="360" w:lineRule="auto"/>
    </w:pPr>
  </w:style>
  <w:style w:type="paragraph" w:styleId="13">
    <w:name w:val="Document Map"/>
    <w:basedOn w:val="1"/>
    <w:uiPriority w:val="0"/>
    <w:pPr>
      <w:shd w:val="clear" w:color="auto" w:fill="000080"/>
    </w:pPr>
  </w:style>
  <w:style w:type="paragraph" w:styleId="14">
    <w:name w:val="annotation text"/>
    <w:basedOn w:val="1"/>
    <w:uiPriority w:val="0"/>
    <w:pPr>
      <w:tabs>
        <w:tab w:val="left" w:pos="187"/>
        <w:tab w:val="clear" w:pos="8640"/>
      </w:tabs>
      <w:spacing w:after="120" w:line="220" w:lineRule="exact"/>
      <w:ind w:left="187" w:hanging="187"/>
    </w:pPr>
  </w:style>
  <w:style w:type="paragraph" w:styleId="15">
    <w:name w:val="Body Text Indent"/>
    <w:basedOn w:val="1"/>
    <w:uiPriority w:val="0"/>
    <w:pPr>
      <w:spacing w:after="120"/>
      <w:ind w:left="420" w:leftChars="200"/>
    </w:pPr>
  </w:style>
  <w:style w:type="paragraph" w:styleId="16">
    <w:name w:val="Plain Text"/>
    <w:basedOn w:val="1"/>
    <w:uiPriority w:val="0"/>
    <w:rPr>
      <w:rFonts w:ascii="Courier New" w:hAnsi="Courier New"/>
      <w:sz w:val="20"/>
    </w:rPr>
  </w:style>
  <w:style w:type="paragraph" w:styleId="17">
    <w:name w:val="endnote text"/>
    <w:basedOn w:val="1"/>
    <w:link w:val="64"/>
    <w:uiPriority w:val="0"/>
    <w:pPr>
      <w:snapToGrid w:val="0"/>
      <w:jc w:val="left"/>
    </w:pPr>
  </w:style>
  <w:style w:type="paragraph" w:styleId="18">
    <w:name w:val="Balloon Text"/>
    <w:basedOn w:val="1"/>
    <w:uiPriority w:val="0"/>
    <w:rPr>
      <w:sz w:val="18"/>
    </w:rPr>
  </w:style>
  <w:style w:type="paragraph" w:styleId="19">
    <w:name w:val="footer"/>
    <w:basedOn w:val="1"/>
    <w:uiPriority w:val="0"/>
    <w:pPr>
      <w:keepLines/>
      <w:tabs>
        <w:tab w:val="center" w:pos="4320"/>
        <w:tab w:val="clear" w:pos="8640"/>
      </w:tabs>
      <w:jc w:val="center"/>
    </w:pPr>
  </w:style>
  <w:style w:type="paragraph" w:styleId="20">
    <w:name w:val="header"/>
    <w:basedOn w:val="1"/>
    <w:uiPriority w:val="0"/>
    <w:pPr>
      <w:keepLines/>
      <w:tabs>
        <w:tab w:val="center" w:pos="4320"/>
        <w:tab w:val="clear" w:pos="8640"/>
      </w:tabs>
      <w:jc w:val="center"/>
    </w:pPr>
  </w:style>
  <w:style w:type="paragraph" w:styleId="21">
    <w:name w:val="toc 1"/>
    <w:basedOn w:val="1"/>
    <w:next w:val="1"/>
    <w:autoRedefine/>
    <w:uiPriority w:val="39"/>
    <w:pPr>
      <w:tabs>
        <w:tab w:val="clear" w:pos="8640"/>
      </w:tabs>
    </w:pPr>
  </w:style>
  <w:style w:type="paragraph" w:styleId="22">
    <w:name w:val="Subtitle"/>
    <w:basedOn w:val="1"/>
    <w:next w:val="3"/>
    <w:qFormat/>
    <w:uiPriority w:val="0"/>
    <w:pPr>
      <w:spacing w:line="480" w:lineRule="auto"/>
    </w:pPr>
    <w:rPr>
      <w:caps/>
    </w:rPr>
  </w:style>
  <w:style w:type="paragraph" w:styleId="23">
    <w:name w:val="footnote text"/>
    <w:basedOn w:val="1"/>
    <w:link w:val="61"/>
    <w:qFormat/>
    <w:uiPriority w:val="99"/>
    <w:pPr>
      <w:snapToGrid w:val="0"/>
      <w:jc w:val="left"/>
    </w:pPr>
    <w:rPr>
      <w:sz w:val="18"/>
      <w:szCs w:val="18"/>
    </w:rPr>
  </w:style>
  <w:style w:type="paragraph" w:styleId="24">
    <w:name w:val="toc 2"/>
    <w:basedOn w:val="1"/>
    <w:next w:val="1"/>
    <w:autoRedefine/>
    <w:uiPriority w:val="39"/>
    <w:pPr>
      <w:tabs>
        <w:tab w:val="clear" w:pos="8640"/>
      </w:tabs>
      <w:ind w:left="420" w:leftChars="200"/>
    </w:pPr>
  </w:style>
  <w:style w:type="paragraph" w:styleId="25">
    <w:name w:val="Title"/>
    <w:basedOn w:val="1"/>
    <w:next w:val="1"/>
    <w:link w:val="62"/>
    <w:qFormat/>
    <w:uiPriority w:val="0"/>
    <w:pPr>
      <w:spacing w:before="240" w:after="60"/>
      <w:jc w:val="center"/>
      <w:outlineLvl w:val="0"/>
    </w:pPr>
    <w:rPr>
      <w:rFonts w:asciiTheme="majorHAnsi" w:hAnsiTheme="majorHAnsi" w:cstheme="majorBidi"/>
      <w:b/>
      <w:bCs/>
      <w:sz w:val="32"/>
      <w:szCs w:val="32"/>
    </w:rPr>
  </w:style>
  <w:style w:type="paragraph" w:styleId="26">
    <w:name w:val="annotation subject"/>
    <w:basedOn w:val="14"/>
    <w:next w:val="14"/>
    <w:uiPriority w:val="0"/>
    <w:pPr>
      <w:tabs>
        <w:tab w:val="clear" w:pos="187"/>
      </w:tabs>
      <w:spacing w:after="0" w:line="288" w:lineRule="auto"/>
      <w:ind w:left="0" w:firstLine="400"/>
      <w:jc w:val="left"/>
    </w:pPr>
    <w:rPr>
      <w:b/>
    </w:rPr>
  </w:style>
  <w:style w:type="character" w:styleId="29">
    <w:name w:val="endnote reference"/>
    <w:basedOn w:val="28"/>
    <w:uiPriority w:val="0"/>
    <w:rPr>
      <w:vertAlign w:val="superscript"/>
    </w:rPr>
  </w:style>
  <w:style w:type="character" w:styleId="30">
    <w:name w:val="page number"/>
    <w:uiPriority w:val="0"/>
    <w:rPr>
      <w:lang w:eastAsia="zh-CN"/>
    </w:rPr>
  </w:style>
  <w:style w:type="character" w:styleId="31">
    <w:name w:val="Hyperlink"/>
    <w:uiPriority w:val="99"/>
    <w:rPr>
      <w:color w:val="0000FF"/>
      <w:u w:val="single"/>
      <w:lang w:eastAsia="zh-CN"/>
    </w:rPr>
  </w:style>
  <w:style w:type="character" w:styleId="32">
    <w:name w:val="annotation reference"/>
    <w:uiPriority w:val="0"/>
    <w:rPr>
      <w:sz w:val="16"/>
      <w:lang w:eastAsia="zh-CN"/>
    </w:rPr>
  </w:style>
  <w:style w:type="character" w:styleId="33">
    <w:name w:val="footnote reference"/>
    <w:qFormat/>
    <w:uiPriority w:val="0"/>
    <w:rPr>
      <w:vertAlign w:val="superscript"/>
      <w:lang w:eastAsia="zh-CN"/>
    </w:rPr>
  </w:style>
  <w:style w:type="paragraph" w:customStyle="1" w:styleId="34">
    <w:name w:val="目录 71"/>
    <w:basedOn w:val="1"/>
    <w:next w:val="1"/>
    <w:uiPriority w:val="0"/>
    <w:pPr>
      <w:tabs>
        <w:tab w:val="clear" w:pos="8640"/>
      </w:tabs>
      <w:ind w:left="1440"/>
      <w:jc w:val="left"/>
    </w:pPr>
    <w:rPr>
      <w:sz w:val="18"/>
    </w:rPr>
  </w:style>
  <w:style w:type="paragraph" w:customStyle="1" w:styleId="35">
    <w:name w:val="目录 51"/>
    <w:basedOn w:val="1"/>
    <w:next w:val="1"/>
    <w:uiPriority w:val="0"/>
    <w:pPr>
      <w:tabs>
        <w:tab w:val="clear" w:pos="8640"/>
      </w:tabs>
      <w:ind w:left="960"/>
      <w:jc w:val="left"/>
    </w:pPr>
    <w:rPr>
      <w:sz w:val="18"/>
    </w:rPr>
  </w:style>
  <w:style w:type="paragraph" w:customStyle="1" w:styleId="36">
    <w:name w:val="目录 31"/>
    <w:basedOn w:val="1"/>
    <w:uiPriority w:val="0"/>
    <w:pPr>
      <w:tabs>
        <w:tab w:val="right" w:leader="dot" w:pos="9061"/>
        <w:tab w:val="clear" w:pos="8640"/>
      </w:tabs>
      <w:ind w:left="476" w:leftChars="100" w:right="100" w:rightChars="100" w:firstLine="0" w:firstLineChars="0"/>
    </w:pPr>
    <w:rPr>
      <w:i/>
      <w:sz w:val="20"/>
    </w:rPr>
  </w:style>
  <w:style w:type="paragraph" w:customStyle="1" w:styleId="37">
    <w:name w:val="目录 81"/>
    <w:basedOn w:val="1"/>
    <w:next w:val="1"/>
    <w:uiPriority w:val="0"/>
    <w:pPr>
      <w:tabs>
        <w:tab w:val="clear" w:pos="8640"/>
      </w:tabs>
      <w:ind w:left="1680"/>
      <w:jc w:val="left"/>
    </w:pPr>
    <w:rPr>
      <w:sz w:val="18"/>
    </w:rPr>
  </w:style>
  <w:style w:type="paragraph" w:customStyle="1" w:styleId="38">
    <w:name w:val="目录 11"/>
    <w:basedOn w:val="1"/>
    <w:uiPriority w:val="0"/>
    <w:pPr>
      <w:tabs>
        <w:tab w:val="clear" w:pos="8640"/>
      </w:tabs>
      <w:spacing w:before="120" w:after="120"/>
      <w:jc w:val="left"/>
    </w:pPr>
    <w:rPr>
      <w:b/>
      <w:caps/>
      <w:sz w:val="20"/>
    </w:rPr>
  </w:style>
  <w:style w:type="paragraph" w:customStyle="1" w:styleId="39">
    <w:name w:val="目录 41"/>
    <w:basedOn w:val="1"/>
    <w:next w:val="1"/>
    <w:uiPriority w:val="0"/>
    <w:pPr>
      <w:tabs>
        <w:tab w:val="clear" w:pos="8640"/>
      </w:tabs>
      <w:ind w:left="720"/>
      <w:jc w:val="left"/>
    </w:pPr>
    <w:rPr>
      <w:sz w:val="18"/>
    </w:rPr>
  </w:style>
  <w:style w:type="paragraph" w:customStyle="1" w:styleId="40">
    <w:name w:val="目录 61"/>
    <w:basedOn w:val="1"/>
    <w:next w:val="1"/>
    <w:uiPriority w:val="0"/>
    <w:pPr>
      <w:tabs>
        <w:tab w:val="clear" w:pos="8640"/>
      </w:tabs>
      <w:ind w:left="1200"/>
      <w:jc w:val="left"/>
    </w:pPr>
    <w:rPr>
      <w:sz w:val="18"/>
    </w:rPr>
  </w:style>
  <w:style w:type="paragraph" w:customStyle="1" w:styleId="41">
    <w:name w:val="目录 21"/>
    <w:basedOn w:val="1"/>
    <w:uiPriority w:val="0"/>
    <w:pPr>
      <w:tabs>
        <w:tab w:val="right" w:leader="dot" w:pos="9061"/>
        <w:tab w:val="clear" w:pos="8640"/>
      </w:tabs>
      <w:ind w:left="238" w:leftChars="100" w:right="100" w:rightChars="100" w:firstLine="0" w:firstLineChars="0"/>
    </w:pPr>
    <w:rPr>
      <w:smallCaps/>
      <w:sz w:val="20"/>
    </w:rPr>
  </w:style>
  <w:style w:type="paragraph" w:customStyle="1" w:styleId="42">
    <w:name w:val="目录 91"/>
    <w:basedOn w:val="1"/>
    <w:next w:val="1"/>
    <w:uiPriority w:val="0"/>
    <w:pPr>
      <w:tabs>
        <w:tab w:val="clear" w:pos="8640"/>
      </w:tabs>
      <w:ind w:left="1920"/>
      <w:jc w:val="left"/>
    </w:pPr>
    <w:rPr>
      <w:sz w:val="18"/>
    </w:rPr>
  </w:style>
  <w:style w:type="paragraph" w:customStyle="1" w:styleId="43">
    <w:name w:val="正文首行缩进1"/>
    <w:basedOn w:val="3"/>
    <w:uiPriority w:val="0"/>
    <w:pPr>
      <w:spacing w:after="120" w:line="288" w:lineRule="auto"/>
      <w:ind w:firstLine="420" w:firstLineChars="100"/>
    </w:pPr>
  </w:style>
  <w:style w:type="paragraph" w:customStyle="1" w:styleId="44">
    <w:name w:val="正文首行缩进 21"/>
    <w:basedOn w:val="15"/>
    <w:uiPriority w:val="0"/>
    <w:pPr>
      <w:ind w:firstLine="420"/>
    </w:pPr>
  </w:style>
  <w:style w:type="character" w:customStyle="1" w:styleId="45">
    <w:name w:val="标题2 Char"/>
    <w:link w:val="46"/>
    <w:uiPriority w:val="0"/>
    <w:rPr>
      <w:rFonts w:ascii="Arial" w:hAnsi="Arial" w:eastAsia="宋体"/>
      <w:b/>
      <w:spacing w:val="-2"/>
      <w:sz w:val="32"/>
      <w:lang w:val="en-US" w:eastAsia="zh-CN"/>
    </w:rPr>
  </w:style>
  <w:style w:type="paragraph" w:customStyle="1" w:styleId="46">
    <w:name w:val="标题2"/>
    <w:basedOn w:val="1"/>
    <w:next w:val="1"/>
    <w:link w:val="45"/>
    <w:uiPriority w:val="0"/>
    <w:pPr>
      <w:tabs>
        <w:tab w:val="left" w:pos="8568"/>
        <w:tab w:val="clear" w:pos="8640"/>
      </w:tabs>
      <w:spacing w:before="312" w:beforeLines="100" w:after="312" w:afterLines="100"/>
      <w:ind w:firstLine="0" w:firstLineChars="0"/>
      <w:jc w:val="left"/>
      <w:outlineLvl w:val="1"/>
    </w:pPr>
    <w:rPr>
      <w:b/>
      <w:sz w:val="32"/>
    </w:rPr>
  </w:style>
  <w:style w:type="paragraph" w:customStyle="1" w:styleId="47">
    <w:name w:val="章节题目"/>
    <w:basedOn w:val="1"/>
    <w:next w:val="1"/>
    <w:uiPriority w:val="0"/>
    <w:pPr>
      <w:keepNext/>
      <w:keepLines/>
      <w:spacing w:before="560" w:after="560"/>
      <w:jc w:val="center"/>
    </w:pPr>
    <w:rPr>
      <w:caps/>
      <w:spacing w:val="2"/>
      <w:kern w:val="28"/>
    </w:rPr>
  </w:style>
  <w:style w:type="paragraph" w:customStyle="1" w:styleId="48">
    <w:name w:val="节标签"/>
    <w:basedOn w:val="1"/>
    <w:next w:val="3"/>
    <w:uiPriority w:val="0"/>
    <w:pPr>
      <w:keepNext/>
      <w:keepLines/>
      <w:pageBreakBefore/>
      <w:spacing w:after="700" w:line="360" w:lineRule="auto"/>
      <w:jc w:val="center"/>
    </w:pPr>
    <w:rPr>
      <w:caps/>
      <w:spacing w:val="10"/>
      <w:kern w:val="28"/>
    </w:rPr>
  </w:style>
  <w:style w:type="paragraph" w:customStyle="1" w:styleId="49">
    <w:name w:val="标题3"/>
    <w:basedOn w:val="6"/>
    <w:next w:val="1"/>
    <w:uiPriority w:val="0"/>
    <w:pPr>
      <w:spacing w:before="156" w:beforeLines="50" w:line="288" w:lineRule="auto"/>
      <w:ind w:firstLine="0" w:firstLineChars="0"/>
    </w:pPr>
    <w:rPr>
      <w:i w:val="0"/>
      <w:sz w:val="28"/>
    </w:rPr>
  </w:style>
  <w:style w:type="paragraph" w:customStyle="1" w:styleId="50">
    <w:name w:val="奇数页眉格式"/>
    <w:basedOn w:val="20"/>
    <w:uiPriority w:val="0"/>
    <w:pPr>
      <w:ind w:firstLine="0" w:firstLineChars="0"/>
    </w:pPr>
    <w:rPr>
      <w:sz w:val="21"/>
    </w:rPr>
  </w:style>
  <w:style w:type="paragraph" w:customStyle="1" w:styleId="51">
    <w:name w:val="图片"/>
    <w:basedOn w:val="3"/>
    <w:next w:val="1"/>
    <w:uiPriority w:val="0"/>
    <w:pPr>
      <w:keepNext/>
      <w:spacing w:line="240" w:lineRule="auto"/>
      <w:jc w:val="center"/>
    </w:pPr>
  </w:style>
  <w:style w:type="paragraph" w:customStyle="1" w:styleId="52">
    <w:name w:val="样式 标题2 + 段前: 1 行 段后: 1 行"/>
    <w:basedOn w:val="46"/>
    <w:next w:val="44"/>
    <w:uiPriority w:val="0"/>
    <w:pPr>
      <w:spacing w:before="240" w:beforeLines="0" w:after="240" w:afterLines="0"/>
    </w:pPr>
  </w:style>
  <w:style w:type="paragraph" w:customStyle="1" w:styleId="53">
    <w:name w:val="偶数页眉格式"/>
    <w:basedOn w:val="20"/>
    <w:uiPriority w:val="0"/>
    <w:pPr>
      <w:ind w:firstLine="0" w:firstLineChars="0"/>
    </w:pPr>
    <w:rPr>
      <w:sz w:val="21"/>
    </w:rPr>
  </w:style>
  <w:style w:type="paragraph" w:customStyle="1" w:styleId="54">
    <w:name w:val="标题1"/>
    <w:basedOn w:val="1"/>
    <w:uiPriority w:val="0"/>
    <w:pPr>
      <w:keepNext/>
      <w:tabs>
        <w:tab w:val="left" w:pos="8568"/>
        <w:tab w:val="clear" w:pos="8640"/>
      </w:tabs>
      <w:spacing w:before="312" w:beforeLines="100" w:after="312" w:afterLines="100"/>
      <w:ind w:firstLine="0" w:firstLineChars="0"/>
      <w:jc w:val="center"/>
      <w:outlineLvl w:val="0"/>
    </w:pPr>
    <w:rPr>
      <w:rFonts w:ascii="黑体" w:eastAsia="黑体"/>
      <w:sz w:val="32"/>
    </w:rPr>
  </w:style>
  <w:style w:type="paragraph" w:customStyle="1" w:styleId="55">
    <w:name w:val="图标题格式"/>
    <w:basedOn w:val="1"/>
    <w:next w:val="1"/>
    <w:uiPriority w:val="0"/>
    <w:pPr>
      <w:spacing w:before="156" w:beforeLines="50" w:after="156" w:afterLines="50"/>
      <w:jc w:val="center"/>
    </w:pPr>
    <w:rPr>
      <w:rFonts w:eastAsia="黑体"/>
      <w:sz w:val="21"/>
    </w:rPr>
  </w:style>
  <w:style w:type="paragraph" w:customStyle="1" w:styleId="56">
    <w:name w:val="奇页脚样式"/>
    <w:basedOn w:val="19"/>
    <w:uiPriority w:val="0"/>
    <w:pPr>
      <w:tabs>
        <w:tab w:val="right" w:pos="0"/>
        <w:tab w:val="clear" w:pos="4320"/>
      </w:tabs>
    </w:pPr>
  </w:style>
  <w:style w:type="paragraph" w:customStyle="1" w:styleId="57">
    <w:name w:val="奇页页眉样式"/>
    <w:basedOn w:val="20"/>
    <w:uiPriority w:val="0"/>
    <w:pPr>
      <w:tabs>
        <w:tab w:val="right" w:pos="0"/>
        <w:tab w:val="clear" w:pos="4320"/>
      </w:tabs>
    </w:pPr>
  </w:style>
  <w:style w:type="paragraph" w:customStyle="1" w:styleId="58">
    <w:name w:val="偶页页眉样式"/>
    <w:basedOn w:val="20"/>
    <w:uiPriority w:val="0"/>
  </w:style>
  <w:style w:type="paragraph" w:customStyle="1" w:styleId="59">
    <w:name w:val="偶页脚样式"/>
    <w:basedOn w:val="19"/>
    <w:uiPriority w:val="0"/>
  </w:style>
  <w:style w:type="paragraph" w:customStyle="1" w:styleId="60">
    <w:name w:val="连续正文文字"/>
    <w:basedOn w:val="3"/>
    <w:uiPriority w:val="0"/>
    <w:pPr>
      <w:keepNext/>
    </w:pPr>
  </w:style>
  <w:style w:type="character" w:customStyle="1" w:styleId="61">
    <w:name w:val="脚注文本 字符"/>
    <w:link w:val="23"/>
    <w:uiPriority w:val="99"/>
    <w:rPr>
      <w:rFonts w:ascii="Arial" w:hAnsi="Arial"/>
      <w:spacing w:val="-2"/>
      <w:sz w:val="18"/>
      <w:szCs w:val="18"/>
      <w:lang w:eastAsia="zh-CN"/>
    </w:rPr>
  </w:style>
  <w:style w:type="character" w:customStyle="1" w:styleId="62">
    <w:name w:val="标题 字符"/>
    <w:basedOn w:val="28"/>
    <w:link w:val="25"/>
    <w:uiPriority w:val="0"/>
    <w:rPr>
      <w:rFonts w:asciiTheme="majorHAnsi" w:hAnsiTheme="majorHAnsi" w:cstheme="majorBidi"/>
      <w:b/>
      <w:bCs/>
      <w:spacing w:val="-2"/>
      <w:sz w:val="32"/>
      <w:szCs w:val="32"/>
      <w:lang w:eastAsia="zh-CN"/>
    </w:rPr>
  </w:style>
  <w:style w:type="character" w:customStyle="1" w:styleId="63">
    <w:name w:val="Unresolved Mention"/>
    <w:basedOn w:val="28"/>
    <w:semiHidden/>
    <w:unhideWhenUsed/>
    <w:uiPriority w:val="99"/>
    <w:rPr>
      <w:color w:val="605E5C"/>
      <w:shd w:val="clear" w:color="auto" w:fill="E1DFDD"/>
    </w:rPr>
  </w:style>
  <w:style w:type="character" w:customStyle="1" w:styleId="64">
    <w:name w:val="尾注文本 字符"/>
    <w:basedOn w:val="28"/>
    <w:link w:val="17"/>
    <w:uiPriority w:val="0"/>
    <w:rPr>
      <w:spacing w:val="-2"/>
      <w:sz w:val="24"/>
    </w:rPr>
  </w:style>
  <w:style w:type="paragraph" w:styleId="65">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theme" Target="theme/theme1.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private/var/containers/Bundle/Application/8800CF18-6233-4058-BC0D-2FE0A755A0B5/wpsoffice.app/F:\&#31995;&#32479;&#25991;&#20214;&#22841;\&#26032;&#26700;&#38754;\&#35770;&#25991;\&#27861;&#21746;&#23398;\&#22823;&#24198;&#30707;&#27833;&#23398;&#38498;&#33258;&#32771;&#27605;&#19994;&#35770;&#25991;&#27169;&#26495;&#21450;&#20854;&#35828;&#2612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088F8C40-0A16-4FD2-877E-C61F3DE69234}">
  <ds:schemaRefs/>
</ds:datastoreItem>
</file>

<file path=docProps/app.xml><?xml version="1.0" encoding="utf-8"?>
<Properties xmlns="http://schemas.openxmlformats.org/officeDocument/2006/extended-properties" xmlns:vt="http://schemas.openxmlformats.org/officeDocument/2006/docPropsVTypes">
  <Template>大庆石油学院自考毕业论文模板及其说明</Template>
  <Company>微软（中国）有限公司</Company>
  <Pages>14</Pages>
  <Words>2272</Words>
  <Characters>12956</Characters>
  <Lines>107</Lines>
  <Paragraphs>30</Paragraphs>
  <TotalTime>606</TotalTime>
  <ScaleCrop>false</ScaleCrop>
  <LinksUpToDate>false</LinksUpToDate>
  <CharactersWithSpaces>15198</CharactersWithSpaces>
  <Application>WPS Office_12.9.6.25227_F1E327BC-269C-435d-A152-05C5408002CA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2026-01-11T16:55:00Z</dcterms:created>
  <dc:creator>教务处</dc:creator>
  <cp:lastModifiedBy>屹</cp:lastModifiedBy>
  <cp:lastPrinted>2008-05-22T10:28:00Z</cp:lastPrinted>
  <dcterms:modified xsi:type="dcterms:W3CDTF">2026-03-03T08:34:23Z</dcterms:modified>
  <dc:title>论文</dc:title>
  <cp:revision>376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ID">
    <vt:r8>2052</vt:r8>
  </property>
  <property fmtid="{D5CDD505-2E9C-101B-9397-08002B2CF9AE}" pid="3" name="Version">
    <vt:r8>2001010800</vt:r8>
  </property>
  <property fmtid="{D5CDD505-2E9C-101B-9397-08002B2CF9AE}" pid="4" name="KSOProductBuildVer">
    <vt:lpwstr>2052-12.9.6.25227</vt:lpwstr>
  </property>
  <property fmtid="{D5CDD505-2E9C-101B-9397-08002B2CF9AE}" pid="5" name="KSOTemplateDocerSaveRecord">
    <vt:lpwstr>eyJoZGlkIjoiNDQzYzAyYzVmNmFhOGI5ZjA4YzQ2MGRiMTEyNmUwZGIiLCJ1c2VySWQiOiIxMDI0NDAifQ==</vt:lpwstr>
  </property>
  <property fmtid="{D5CDD505-2E9C-101B-9397-08002B2CF9AE}" pid="6" name="ICV">
    <vt:lpwstr>C91957E61046C0088F2CA66985B8CB16_43</vt:lpwstr>
  </property>
</Properties>
</file>