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icrosoft JhengHei" w:hAnsi="Microsoft JhengHei" w:eastAsia="Microsoft JhengHei"/>
          <w:b/>
          <w:color w:val="20354A"/>
          <w:sz w:val="44"/>
        </w:rPr>
        <w:t>Stroke Prediction 期末簡報</w:t>
        <w:br/>
        <w:t>逐頁註記與注意事項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E4473D"/>
          <w:sz w:val="22"/>
        </w:rPr>
        <w:t>王俊詠｜11127004｜MLP Neural Network 主軸版</w:t>
      </w:r>
    </w:p>
    <w:p>
      <w:pPr>
        <w:spacing w:after="240"/>
      </w:pPr>
      <w:r>
        <w:rPr>
          <w:rFonts w:ascii="Microsoft JhengHei" w:hAnsi="Microsoft JhengHei" w:eastAsia="Microsoft JhengHei"/>
          <w:b w:val="0"/>
          <w:color w:val="687786"/>
          <w:sz w:val="21"/>
        </w:rPr>
        <w:t>使用方式：這份文件收錄已從投影片左下角移除的原註記，並補充每頁口頭報告時需要注意的說法。投影片只保留右下角頁碼，方法與數據依據則集中在本文件備查。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 頁｜神經網路中風預測分析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無（封面特殊版型）。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開場先說明這是從期中 Stroke Prediction 延伸而來；期末依課程要求加入神經網路，並以 MLPClassifier 作為主模型。Logistic Regression 僅作為 benchmark。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報告者：王俊詠；學號：11127004；報告時間約 8 分鐘。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2 頁｜期中建立基線，期末改以神經網路延伸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資料來源：期中報告與期末延伸研究。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清楚切分兩階段：期中完成資料清理、視覺化與 LR／RF／KNN 基線；期末新增 MLP、GridSearchCV 與 OOF F2 threshold tuning。不要讓 LR 看起來像期末主模型。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期中：傳統 ML 基線；期末：MLP 主模型。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3 頁｜資料集的核心難題：中風案例只占 4.87%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資料來源：healthcare-dataset-stroke-data.csv。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強調類別極度不平衡，因此 Accuracy 可能看起來很高，卻漏掉中風個案。後續應優先看 Recall、F2 與 PR-AUC。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總樣本 5,110；中風比例 4.87%；測試集 1,022。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4 頁｜視覺化顯示：風險集中在年齡與血糖等特徵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資料來源：本研究 EDA。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可以說高齡與較高血糖的中風比例較明顯，但只能說資料中呈現關聯，不要宣稱因果關係。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重點特徵：age、avg_glucose_level，以及 hypertension、heart_disease 等風險資訊。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5 頁｜缺失值與相關性：先修補資料，再避免過度解讀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資料來源：本研究缺失值與相關性分析。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BMI 缺失值必須在 Pipeline 內以訓練資料估計補值參數；相關係數只能描述線性關係，不能證明因果。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BMI 缺失值 201 筆；數值欄位使用中位數補值。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6 頁｜Pipeline 讓前處理只從訓練資料學習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方法：ColumnTransformer + Pipeline。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說明類別欄位使用 One-hot encoding、數值欄位標準化，且補值與標準化都在每一折訓練資料內估計，以降低資料洩漏。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10 個原始特徵轉換為 21 個模型輸入特徵。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7 頁｜神經網路流程：測試集只在最後一次打開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方法：Stratified train/test split，random_state=42。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模型架構、超參數與 threshold 都只能用訓練資料決定；測試集只用於最後一次泛化評估。這是避免資料洩漏的重要說明。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訓練集 4,088；測試集 1,022；分層切分。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8 頁｜神經網路模型設計：以 MLP 處理表格型中風資料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模型：sklearn MLPClassifier；資料：Healthcare Stroke Dataset。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這是表格型資料，不是影像或序列，因此使用 MLP 比 CNN／RNN 更合理。MLP 是期末主模型，LR 僅是可解釋 benchmark。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主模型：Multilayer Perceptron（多層感知器）。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9 頁｜MLP GridSearchCV：搜尋神經網路架構與正則化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GridSearchCV scoring = average_precision；只使用訓練資料交叉驗證。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說明 GridSearchCV 不是直接追求 Accuracy，而是使用 average precision／PR-AUC，以配合不平衡資料。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最佳設定：(64,) 隱藏層、ReLU、alpha=0.0001、learning_rate_init=0.001；CV PR-AUC=0.1639。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10 頁｜神經網路不能只看 0.5：中風預測需要召回導向門檻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門檻由訓練集 OOF 預測決定；測試集只用於最後評估。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預設 threshold=0.5 並不一定適合醫療預警。F2-score 比 F1 更重視 Recall，因此用它選擇降低漏判的門檻。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預設門檻 FN=33；調整後 FN=11。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11 頁｜OOF F2 選出 NN threshold = 0.245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MLP Precision／Recall／F2-score threshold curve。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指出紅色虛線 0.245 是訓練集 OOF F2-score 的最高附近，灰色虛線是預設 0.5。測試集沒有參與門檻選擇。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threshold=0.245；Recall=0.78；F2=0.430。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12 頁｜神經網路混淆矩陣：門檻調整後明顯降低漏判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測試集 n=1,022；MLP tuned threshold=0.245。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先讀矩陣四格，再說明降低漏判的代價是誤警示增加。模型適合做初步風險預警，不能直接取代醫療診斷。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TN=757、FP=215、FN=11、TP=39；Recall=39/50=0.78。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13 頁｜結果分析：MLP 主模型與 LR benchmark 比較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比較基準：同一測試集、同一 train/test split；LR 僅作為 benchmark。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MLP 的 PR-AUC 較高，但 Recall 與 F2 略低於 LR benchmark。只能說風險排序能力提升，不能說神經網路全面勝出。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MLP：PR-AUC=0.274、Recall=0.78、F2=0.430；LR benchmark：0.252、0.80、0.445。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14 頁｜期中基準 vs 期末神經網路：保留脈絡，但主軸轉向 MLP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期中數值來自 main.ipynb；期末 MLP 數值來自 neural_network_extension.ipynb。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務必分清兩組 LR：期中 Balanced LR 的 FP=251；期末 LR benchmark 經 threshold tuning 後 FP=209。本頁右側則是期末 MLP 的 FP=215。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期中 Balanced LR：Recall=0.80、FN=10、FP=251；期末 MLP：Recall=0.78、FN=11、FP=215。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15 頁｜神經網路主軸下的判讀：MLP 有進步，也有取捨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模型：sklearn MLPClassifier；同一測試集比較。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重申 MLP 是期末主模型；LR benchmark 與期中基線只是參考線。優勢是 PR-AUC，限制是 Precision 偏低且 False Positive 較多。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MLP PR-AUC=0.274、Recall=0.78、F2=0.430、FP=215。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16 頁｜結論：期末以神經網路延伸中風預測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無（結論特殊版型）。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結論要保持誠實：MLP 在 PR-AUC 上高於 LR benchmark，但 Recall/F2 略低；因此不主張 NN 全面較強。未來可做外部驗證、機率校準與醫療成本導向門檻設定。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MLP PR-AUC=0.274；LR benchmark PR-AUC=0.252。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0354A"/>
          <w:sz w:val="26"/>
        </w:rPr>
        <w:t>第 17 頁｜Thank you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373"/>
      </w:tblGrid>
      <w:tr>
        <w:tc>
          <w:tcPr>
            <w:tcW w:type="dxa" w:w="1699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原頁尾註記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無（結尾特殊版型）。</w:t>
            </w:r>
          </w:p>
        </w:tc>
      </w:tr>
      <w:tr>
        <w:tc>
          <w:tcPr>
            <w:tcW w:type="dxa" w:w="1699"/>
            <w:shd w:fill="E8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E4473D"/>
                <w:sz w:val="19"/>
              </w:rPr>
              <w:t>報告時注意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2A8C91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簡短致謝後進入提問。預先準備回答：為何選 MLP、為何用 F2、為何 threshold 不是 0.5，以及為何 MLP 沒有全面勝過 LR。</w:t>
            </w:r>
          </w:p>
        </w:tc>
      </w:tr>
      <w:tr>
        <w:tc>
          <w:tcPr>
            <w:tcW w:type="dxa" w:w="1699"/>
            <w:shd w:fill="FB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0354A"/>
                <w:sz w:val="19"/>
              </w:rPr>
              <w:t>關鍵數字</w:t>
            </w:r>
          </w:p>
        </w:tc>
        <w:tc>
          <w:tcPr>
            <w:tcW w:type="dxa" w:w="737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 w:line="276" w:lineRule="auto"/>
            </w:pPr>
            <w:r>
              <w:rPr>
                <w:rFonts w:ascii="Microsoft JhengHei" w:hAnsi="Microsoft JhengHei" w:eastAsia="Microsoft JhengHei"/>
                <w:b/>
                <w:color w:val="687786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1C2936"/>
                <w:sz w:val="21"/>
              </w:rPr>
              <w:t>姓名：王俊詠；學號：11127004。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87786"/>
        <w:sz w:val="17"/>
      </w:rPr>
      <w:t>11127004 王俊詠｜Stroke Prediction 期末簡報逐頁備註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5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5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