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
  <Relationship Id="rId5" Type="http://schemas.openxmlformats.org/officeDocument/2006/relationships/officeDocument" Target="word/document.xml"/>
  <Relationship Id="rId1" Type="http://schemas.openxmlformats.org/package/2006/relationships/metadata/thumbnail" Target="docProps/thumbnail.wmf"/>
  <Relationship Id="rId3" Type="http://schemas.openxmlformats.org/package/2006/relationships/metadata/core-properties" Target="docProps/core.xml"/>
  <Relationship Id="rId2" Type="http://schemas.openxmlformats.org/officeDocument/2006/relationships/extended-properties" Target="docProps/app.xml"/>
  <Relationship Id="rId4" Type="http://schemas.openxmlformats.org/officeDocument/2006/relationships/custom-properties" Target="docProps/custom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3111F">
      <w:pPr>
        <w:spacing w:after="80"/>
        <w:jc w:val="center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南京德汇通信技术有限公司</w:t>
      </w:r>
    </w:p>
    <w:p w14:paraId="017EF9F6">
      <w:pPr>
        <w:spacing w:after="200"/>
        <w:jc w:val="center"/>
      </w:pPr>
      <w:r>
        <w:rPr>
          <w:rFonts w:ascii="Times New Roman" w:hAnsi="Times New Roman" w:eastAsia="黑体"/>
          <w:b w:val="0"/>
          <w:i w:val="0"/>
          <w:color w:val="000000"/>
          <w:sz w:val="24"/>
        </w:rPr>
        <w:t>电话渠道统一声纹音色转换项目</w:t>
      </w:r>
    </w:p>
    <w:p w14:paraId="3B4A5BEB">
      <w:pPr>
        <w:spacing w:after="120"/>
        <w:jc w:val="center"/>
      </w:pPr>
      <w:r>
        <w:rPr>
          <w:rFonts w:ascii="Times New Roman" w:hAnsi="Times New Roman" w:eastAsia="黑体"/>
          <w:b/>
          <w:i w:val="0"/>
          <w:color w:val="000000"/>
          <w:sz w:val="40"/>
        </w:rPr>
        <w:t>详细设计与接口说明书（端云协同）</w:t>
      </w:r>
    </w:p>
    <w:p w14:paraId="239B28EF">
      <w:pPr>
        <w:spacing w:after="160"/>
        <w:jc w:val="center"/>
      </w:pPr>
      <w:r>
        <w:rPr>
          <w:rFonts w:ascii="Times New Roman" w:hAnsi="Times New Roman" w:eastAsia="宋体"/>
          <w:b w:val="0"/>
          <w:i w:val="0"/>
          <w:color w:val="5A5A5A"/>
          <w:sz w:val="20"/>
        </w:rPr>
        <w:t>文档编号：DH-UVTC-D06    版本：V1.0    密级：内部资料 · 注意保存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5"/>
        <w:gridCol w:w="2295"/>
        <w:gridCol w:w="2295"/>
      </w:tblGrid>
      <w:tr w14:paraId="2ABD2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  <w:shd w:val="clear" w:color="auto" w:fill="F2F2F2"/>
            <w:vAlign w:val="center"/>
          </w:tcPr>
          <w:p w14:paraId="6BA1AFE4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编制人 / 日期</w:t>
            </w:r>
          </w:p>
        </w:tc>
        <w:tc>
          <w:tcPr>
            <w:tcW w:w="2295" w:type="dxa"/>
            <w:shd w:val="clear" w:color="auto" w:fill="FFFFFF"/>
            <w:vAlign w:val="center"/>
          </w:tcPr>
          <w:p w14:paraId="6FE0B9B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【研发：　　】</w:t>
            </w:r>
          </w:p>
        </w:tc>
        <w:tc>
          <w:tcPr>
            <w:tcW w:w="2295" w:type="dxa"/>
            <w:shd w:val="clear" w:color="auto" w:fill="F2F2F2"/>
            <w:vAlign w:val="center"/>
          </w:tcPr>
          <w:p w14:paraId="54F3D5BD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审核人 / 日期</w:t>
            </w:r>
          </w:p>
        </w:tc>
        <w:tc>
          <w:tcPr>
            <w:tcW w:w="2295" w:type="dxa"/>
            <w:shd w:val="clear" w:color="auto" w:fill="FFFFFF"/>
            <w:vAlign w:val="center"/>
          </w:tcPr>
          <w:p w14:paraId="0A6A58A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【技术负责人：　　】</w:t>
            </w:r>
          </w:p>
        </w:tc>
      </w:tr>
      <w:tr w14:paraId="7EC7F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  <w:shd w:val="clear" w:color="auto" w:fill="F2F2F2"/>
            <w:vAlign w:val="center"/>
          </w:tcPr>
          <w:p w14:paraId="45AB604C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批准人 / 日期</w:t>
            </w:r>
          </w:p>
        </w:tc>
        <w:tc>
          <w:tcPr>
            <w:tcW w:w="2295" w:type="dxa"/>
            <w:shd w:val="clear" w:color="auto" w:fill="FFFFFF"/>
            <w:vAlign w:val="center"/>
          </w:tcPr>
          <w:p w14:paraId="4D322CC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【研发总监：　　】</w:t>
            </w:r>
          </w:p>
        </w:tc>
        <w:tc>
          <w:tcPr>
            <w:tcW w:w="2295" w:type="dxa"/>
            <w:shd w:val="clear" w:color="auto" w:fill="F2F2F2"/>
            <w:vAlign w:val="center"/>
          </w:tcPr>
          <w:p w14:paraId="5D29144C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会签 / 日期</w:t>
            </w:r>
          </w:p>
        </w:tc>
        <w:tc>
          <w:tcPr>
            <w:tcW w:w="2295" w:type="dxa"/>
            <w:shd w:val="clear" w:color="auto" w:fill="FFFFFF"/>
            <w:vAlign w:val="center"/>
          </w:tcPr>
          <w:p w14:paraId="633F5DD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【业务 / 法务 / 安全：　　】</w:t>
            </w:r>
          </w:p>
        </w:tc>
      </w:tr>
    </w:tbl>
    <w:p w14:paraId="0DDBB085">
      <w:pPr>
        <w:spacing w:after="40"/>
      </w:pPr>
    </w:p>
    <w:p w14:paraId="7A3506D2">
      <w:pPr>
        <w:spacing w:before="200" w:after="80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一、端侧详细设计</w:t>
      </w:r>
    </w:p>
    <w:p w14:paraId="13AE6F7D">
      <w:pPr>
        <w:spacing w:before="120" w:after="40"/>
      </w:pPr>
      <w:r>
        <w:rPr>
          <w:rFonts w:ascii="Times New Roman" w:hAnsi="Times New Roman" w:eastAsia="黑体"/>
          <w:b/>
          <w:i w:val="0"/>
          <w:color w:val="000000"/>
          <w:sz w:val="25"/>
        </w:rPr>
        <w:t>1.1 线程模型</w:t>
      </w:r>
    </w:p>
    <w:p w14:paraId="3120E7D3">
      <w:pPr>
        <w:spacing w:line="360" w:lineRule="auto"/>
        <w:ind w:left="36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● GUI主线程（PySide6 Fluent）：界面、选角色、调参。sounddevice/WASAPI采集与播放回调不阻塞UI。InferenceWorkerThread经WebSocket向36.213.110.67:8765收发PCM。无独立虚拟声卡播放线程。</w:t>
      </w:r>
    </w:p>
    <w:p w14:paraId="0AD4B98F">
      <w:pPr>
        <w:spacing w:line="360" w:lineRule="auto"/>
        <w:ind w:left="36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● 线程间用有界队列解耦，积压丢旧保新或回静音，严禁无界堆积导致延迟滚雪球。</w:t>
      </w:r>
    </w:p>
    <w:p w14:paraId="3BB122AF">
      <w:pPr>
        <w:spacing w:before="120" w:after="40"/>
      </w:pPr>
      <w:r>
        <w:rPr>
          <w:rFonts w:ascii="Times New Roman" w:hAnsi="Times New Roman" w:eastAsia="黑体"/>
          <w:b/>
          <w:i w:val="0"/>
          <w:color w:val="000000"/>
          <w:sz w:val="25"/>
        </w:rPr>
        <w:t>1.2 音频处理参数（现网默认）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061"/>
        <w:gridCol w:w="4535"/>
      </w:tblGrid>
      <w:tr w14:paraId="71807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1F4E79"/>
            <w:vAlign w:val="center"/>
          </w:tcPr>
          <w:p w14:paraId="1607CF6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环节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467E4BB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参数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39D7744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默认/建议</w:t>
            </w:r>
          </w:p>
        </w:tc>
      </w:tr>
      <w:tr w14:paraId="393EB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A2805A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内部采样</w:t>
            </w:r>
          </w:p>
        </w:tc>
        <w:tc>
          <w:tcPr>
            <w:tcW w:w="3061" w:type="dxa"/>
            <w:vAlign w:val="center"/>
          </w:tcPr>
          <w:p w14:paraId="686B8A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采集/处理位深</w:t>
            </w:r>
          </w:p>
        </w:tc>
        <w:tc>
          <w:tcPr>
            <w:tcW w:w="4535" w:type="dxa"/>
            <w:vAlign w:val="center"/>
          </w:tcPr>
          <w:p w14:paraId="07F867D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按模型tgt_sr，现网多为48kHz、float32单声道</w:t>
            </w:r>
          </w:p>
        </w:tc>
      </w:tr>
      <w:tr w14:paraId="24C7D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A570E0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帧长 frame</w:t>
            </w:r>
          </w:p>
        </w:tc>
        <w:tc>
          <w:tcPr>
            <w:tcW w:w="3061" w:type="dxa"/>
            <w:vAlign w:val="center"/>
          </w:tcPr>
          <w:p w14:paraId="68B6025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送推理最小块</w:t>
            </w:r>
          </w:p>
        </w:tc>
        <w:tc>
          <w:tcPr>
            <w:tcW w:w="4535" w:type="dxa"/>
            <w:vAlign w:val="center"/>
          </w:tcPr>
          <w:p w14:paraId="3FCBAAE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默认约60ms（block_time=0.06）</w:t>
            </w:r>
          </w:p>
        </w:tc>
      </w:tr>
      <w:tr w14:paraId="2DBC4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7D806F1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编码</w:t>
            </w:r>
          </w:p>
        </w:tc>
        <w:tc>
          <w:tcPr>
            <w:tcW w:w="3061" w:type="dxa"/>
            <w:vAlign w:val="center"/>
          </w:tcPr>
          <w:p w14:paraId="207A1A9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不编码，WebSocket传PCM</w:t>
            </w:r>
          </w:p>
        </w:tc>
        <w:tc>
          <w:tcPr>
            <w:tcW w:w="4535" w:type="dxa"/>
            <w:vAlign w:val="center"/>
          </w:tcPr>
          <w:p w14:paraId="1BF7741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float32 PCM，不压缩</w:t>
            </w:r>
          </w:p>
        </w:tc>
      </w:tr>
      <w:tr w14:paraId="4BC54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7040A3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降噪</w:t>
            </w:r>
          </w:p>
        </w:tc>
        <w:tc>
          <w:tcPr>
            <w:tcW w:w="3061" w:type="dxa"/>
            <w:vAlign w:val="center"/>
          </w:tcPr>
          <w:p w14:paraId="4C87A7A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可选输入/输出降噪</w:t>
            </w:r>
          </w:p>
        </w:tc>
        <w:tc>
          <w:tcPr>
            <w:tcW w:w="4535" w:type="dxa"/>
            <w:vAlign w:val="center"/>
          </w:tcPr>
          <w:p w14:paraId="6EFFCA9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默认关；可开I_noise_reduce/O_noise_reduce</w:t>
            </w:r>
          </w:p>
        </w:tc>
      </w:tr>
      <w:tr w14:paraId="3EAA6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8B4C96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VAD/AGC</w:t>
            </w:r>
          </w:p>
        </w:tc>
        <w:tc>
          <w:tcPr>
            <w:tcW w:w="3061" w:type="dxa"/>
            <w:vAlign w:val="center"/>
          </w:tcPr>
          <w:p w14:paraId="07FA1A5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门限/可选VAD</w:t>
            </w:r>
          </w:p>
        </w:tc>
        <w:tc>
          <w:tcPr>
            <w:tcW w:w="4535" w:type="dxa"/>
            <w:vAlign w:val="center"/>
          </w:tcPr>
          <w:p w14:paraId="4991780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threhold默认-50dB；可选VAD；输出有限幅</w:t>
            </w:r>
          </w:p>
        </w:tc>
      </w:tr>
      <w:tr w14:paraId="28BE6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5FF091D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jitter</w:t>
            </w:r>
          </w:p>
        </w:tc>
        <w:tc>
          <w:tcPr>
            <w:tcW w:w="3061" w:type="dxa"/>
            <w:vAlign w:val="center"/>
          </w:tcPr>
          <w:p w14:paraId="6FD53D7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自适应深度</w:t>
            </w:r>
          </w:p>
        </w:tc>
        <w:tc>
          <w:tcPr>
            <w:tcW w:w="4535" w:type="dxa"/>
            <w:vAlign w:val="center"/>
          </w:tcPr>
          <w:p w14:paraId="5BAFB42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按RTT自适应等待，约120ms～1.5s</w:t>
            </w:r>
          </w:p>
        </w:tc>
      </w:tr>
      <w:tr w14:paraId="32572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79A7998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虚拟声卡</w:t>
            </w:r>
          </w:p>
        </w:tc>
        <w:tc>
          <w:tcPr>
            <w:tcW w:w="3061" w:type="dxa"/>
            <w:vAlign w:val="center"/>
          </w:tcPr>
          <w:p w14:paraId="39D50B5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采样率对齐</w:t>
            </w:r>
          </w:p>
        </w:tc>
        <w:tc>
          <w:tcPr>
            <w:tcW w:w="4535" w:type="dxa"/>
            <w:vAlign w:val="center"/>
          </w:tcPr>
          <w:p w14:paraId="7FAD0C4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默认系统耳机/扬声器；虚拟声卡可选，非必须</w:t>
            </w:r>
          </w:p>
        </w:tc>
      </w:tr>
    </w:tbl>
    <w:p w14:paraId="1CCE97AF">
      <w:pPr>
        <w:spacing w:after="40"/>
      </w:pPr>
    </w:p>
    <w:p w14:paraId="597426B0">
      <w:pPr>
        <w:spacing w:before="120" w:after="40"/>
      </w:pPr>
      <w:r>
        <w:rPr>
          <w:rFonts w:ascii="Times New Roman" w:hAnsi="Times New Roman" w:eastAsia="黑体"/>
          <w:b/>
          <w:i w:val="0"/>
          <w:color w:val="000000"/>
          <w:sz w:val="25"/>
        </w:rPr>
        <w:t>1.3 虚拟声卡对接</w:t>
      </w:r>
    </w:p>
    <w:p w14:paraId="1377EEC9">
      <w:pPr>
        <w:spacing w:line="360" w:lineRule="auto"/>
        <w:ind w:left="36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● 枚举输入/输出并记忆。不强制虚拟声卡。客户端「虚拟声卡向导」可检测 VB-Cable/VoiceMeeter，没有则打开安装页并做路由自检。驱动不打进安装包。</w:t>
      </w:r>
    </w:p>
    <w:p w14:paraId="529B4D6D">
      <w:pPr>
        <w:spacing w:line="360" w:lineRule="auto"/>
        <w:ind w:left="36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● 用WASAPI/PortAudio播放到所选输出。向导可「设为输出/设为输入」。无浏览器自检。可看输入输出电平。</w:t>
      </w:r>
    </w:p>
    <w:p w14:paraId="759BADCE">
      <w:pPr>
        <w:spacing w:before="120" w:after="40"/>
      </w:pPr>
      <w:r>
        <w:rPr>
          <w:rFonts w:ascii="Times New Roman" w:hAnsi="Times New Roman" w:eastAsia="黑体"/>
          <w:b/>
          <w:i w:val="0"/>
          <w:color w:val="000000"/>
          <w:sz w:val="25"/>
        </w:rPr>
        <w:t>1.4 GUI 界面与可调参数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597"/>
      </w:tblGrid>
      <w:tr w14:paraId="0D632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1F4E79"/>
            <w:vAlign w:val="center"/>
          </w:tcPr>
          <w:p w14:paraId="68568DD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8"/>
              </w:rPr>
              <w:t>分区</w:t>
            </w:r>
          </w:p>
        </w:tc>
        <w:tc>
          <w:tcPr>
            <w:tcW w:w="7597" w:type="dxa"/>
            <w:shd w:val="clear" w:color="auto" w:fill="1F4E79"/>
            <w:vAlign w:val="center"/>
          </w:tcPr>
          <w:p w14:paraId="2C2B576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8"/>
              </w:rPr>
              <w:t>控件/参数</w:t>
            </w:r>
          </w:p>
        </w:tc>
      </w:tr>
      <w:tr w14:paraId="70F62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0FBA8A1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连接区</w:t>
            </w:r>
          </w:p>
        </w:tc>
        <w:tc>
          <w:tcPr>
            <w:tcW w:w="7597" w:type="dxa"/>
            <w:vAlign w:val="center"/>
          </w:tcPr>
          <w:p w14:paraId="6A473A5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服务器地址ws://IP:8765、连接按钮、已连接/GPU/角色状态</w:t>
            </w:r>
          </w:p>
        </w:tc>
      </w:tr>
      <w:tr w14:paraId="13EF1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72C2BCB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设备区</w:t>
            </w:r>
          </w:p>
        </w:tc>
        <w:tc>
          <w:tcPr>
            <w:tcW w:w="7597" w:type="dxa"/>
            <w:vAlign w:val="center"/>
          </w:tcPr>
          <w:p w14:paraId="2F10F45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麦克风/输出设备选择、刷新设备、输入输出电平</w:t>
            </w:r>
          </w:p>
        </w:tc>
      </w:tr>
      <w:tr w14:paraId="0721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7F9BC7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音色区</w:t>
            </w:r>
          </w:p>
        </w:tc>
        <w:tc>
          <w:tcPr>
            <w:tcW w:w="7597" w:type="dxa"/>
            <w:vAlign w:val="center"/>
          </w:tcPr>
          <w:p w14:paraId="01BC0E4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角色列表（含OP2694892杜情、OP2701992张乐、OP2655302王娟、OP2671842爼海峰、OP2687374牛志鹏、OP2701067刘智贤）、开始/停止变声。无登录授权。</w:t>
            </w:r>
          </w:p>
        </w:tc>
      </w:tr>
      <w:tr w14:paraId="5FEB8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E928FF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调参区</w:t>
            </w:r>
          </w:p>
        </w:tc>
        <w:tc>
          <w:tcPr>
            <w:tcW w:w="7597" w:type="dxa"/>
            <w:vAlign w:val="center"/>
          </w:tcPr>
          <w:p w14:paraId="7631FD5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音高（半音）、检索率、共振峰、块长/交叉淡化/额外上下文、降噪、门限、f0方法rmvpe</w:t>
            </w:r>
          </w:p>
        </w:tc>
      </w:tr>
      <w:tr w14:paraId="2A501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4697D83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状态区</w:t>
            </w:r>
          </w:p>
        </w:tc>
        <w:tc>
          <w:tcPr>
            <w:tcW w:w="7597" w:type="dxa"/>
            <w:vAlign w:val="center"/>
          </w:tcPr>
          <w:p w14:paraId="490C8E4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卡顿/时延、连接状态、已加载模型与索引名</w:t>
            </w:r>
          </w:p>
        </w:tc>
      </w:tr>
      <w:tr w14:paraId="32D04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76177E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日志区</w:t>
            </w:r>
          </w:p>
        </w:tc>
        <w:tc>
          <w:tcPr>
            <w:tcW w:w="7597" w:type="dxa"/>
            <w:vAlign w:val="center"/>
          </w:tcPr>
          <w:p w14:paraId="7AE7EDB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状态栏与弹窗错误提示；日志在%AppData%\RVC实时变声\logs</w:t>
            </w:r>
          </w:p>
        </w:tc>
      </w:tr>
    </w:tbl>
    <w:p w14:paraId="4420A15B">
      <w:pPr>
        <w:spacing w:after="40"/>
      </w:pPr>
    </w:p>
    <w:p w14:paraId="126DD420">
      <w:pPr>
        <w:ind w:left="160"/>
      </w:pPr>
      <w:r>
        <w:rPr>
          <w:rFonts w:ascii="Times New Roman" w:hAnsi="Times New Roman" w:eastAsia="仿宋"/>
          <w:b w:val="0"/>
          <w:i/>
          <w:color w:val="787878"/>
          <w:sz w:val="19"/>
        </w:rPr>
        <w:t>说明：常用音高/检索/共振峰实时生效；高级参数在延迟与音质区。无坐席账号。</w:t>
      </w:r>
    </w:p>
    <w:p w14:paraId="2A4F0CE0">
      <w:pPr>
        <w:spacing w:before="200" w:after="80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二、云端详细设计</w:t>
      </w:r>
    </w:p>
    <w:p w14:paraId="0CE78D83">
      <w:pPr>
        <w:spacing w:line="360" w:lineRule="auto"/>
        <w:ind w:left="36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● RVC推理：rvc_server.py加载.pth与.index到T4。现网Python 3.12.3、PyTorch 2.6.0+cu124（CUDA 12.4），驱动570.133.20。T4走FP16+CUDA Graph，不用TensorRT。每连接一个Session，默认max-sessions=1。目录/root/songwang/rvc-infer。</w:t>
      </w:r>
    </w:p>
    <w:p w14:paraId="4ABFD1AB">
      <w:pPr>
        <w:spacing w:line="360" w:lineRule="auto"/>
        <w:ind w:left="36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● 无独立接入网关、无TLS、无坐席令牌。客户端直连ws://36.213.110.67:8765。音频流式处理不落盘。角色名单在客户端speakers.json，权重只在服务器。</w:t>
      </w:r>
    </w:p>
    <w:p w14:paraId="0ACD499C">
      <w:pPr>
        <w:spacing w:before="200" w:after="80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三、端云通信协议（WebSocket，本期 ws:// 明文）</w:t>
      </w:r>
    </w:p>
    <w:p w14:paraId="1261024C">
      <w:pPr>
        <w:spacing w:before="120" w:after="40"/>
      </w:pPr>
      <w:r>
        <w:rPr>
          <w:rFonts w:ascii="Times New Roman" w:hAnsi="Times New Roman" w:eastAsia="黑体"/>
          <w:b/>
          <w:i w:val="0"/>
          <w:color w:val="000000"/>
          <w:sz w:val="25"/>
        </w:rPr>
        <w:t>3.1 连接与鉴权</w:t>
      </w:r>
    </w:p>
    <w:p w14:paraId="3B4BE94F">
      <w:pPr>
        <w:spacing w:line="360" w:lineRule="auto"/>
        <w:ind w:left="36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● 连接 ws://36.213.110.67:8765，无token。连上后可发JSON {"action":"status"} 查询loaded/gpu/samplerate；加载角色发 {"action":"load","model_path":"...","index_path":"..."}，服务端回status/samplerate或error。</w:t>
      </w:r>
    </w:p>
    <w:p w14:paraId="069EE831">
      <w:pPr>
        <w:spacing w:before="120" w:after="40"/>
      </w:pPr>
      <w:r>
        <w:rPr>
          <w:rFonts w:ascii="Times New Roman" w:hAnsi="Times New Roman" w:eastAsia="黑体"/>
          <w:b/>
          <w:i w:val="0"/>
          <w:color w:val="000000"/>
          <w:sz w:val="25"/>
        </w:rPr>
        <w:t>3.2 二进制音频帧格式</w:t>
      </w:r>
    </w:p>
    <w:p w14:paraId="3EBE4F03"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音频帧为二进制PCM，无压缩编码。请求/响应：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1134"/>
        <w:gridCol w:w="6576"/>
      </w:tblGrid>
      <w:tr w14:paraId="3851B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1F4E79"/>
            <w:vAlign w:val="center"/>
          </w:tcPr>
          <w:p w14:paraId="5AB81FC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7749CDF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长度</w:t>
            </w:r>
          </w:p>
        </w:tc>
        <w:tc>
          <w:tcPr>
            <w:tcW w:w="6576" w:type="dxa"/>
            <w:shd w:val="clear" w:color="auto" w:fill="1F4E79"/>
            <w:vAlign w:val="center"/>
          </w:tcPr>
          <w:p w14:paraId="285F67F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 w14:paraId="72B64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2EA4A07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（无）</w:t>
            </w:r>
          </w:p>
        </w:tc>
        <w:tc>
          <w:tcPr>
            <w:tcW w:w="1134" w:type="dxa"/>
            <w:vAlign w:val="center"/>
          </w:tcPr>
          <w:p w14:paraId="10E2BA6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w="6576" w:type="dxa"/>
            <w:vAlign w:val="center"/>
          </w:tcPr>
          <w:p w14:paraId="09567E0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本行不使用。真实音频帧只有 seq(4B)+n(4B)+float32 PCM。</w:t>
            </w:r>
          </w:p>
        </w:tc>
      </w:tr>
      <w:tr w14:paraId="5C711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1C61325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seq</w:t>
            </w:r>
          </w:p>
        </w:tc>
        <w:tc>
          <w:tcPr>
            <w:tcW w:w="1134" w:type="dxa"/>
            <w:vAlign w:val="center"/>
          </w:tcPr>
          <w:p w14:paraId="044ACB8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4B</w:t>
            </w:r>
          </w:p>
        </w:tc>
        <w:tc>
          <w:tcPr>
            <w:tcW w:w="6576" w:type="dxa"/>
            <w:vAlign w:val="center"/>
          </w:tcPr>
          <w:p w14:paraId="652CCC8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uint32大端序号seq</w:t>
            </w:r>
          </w:p>
        </w:tc>
      </w:tr>
      <w:tr w14:paraId="7D817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3500A32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（无）</w:t>
            </w:r>
          </w:p>
        </w:tc>
        <w:tc>
          <w:tcPr>
            <w:tcW w:w="1134" w:type="dxa"/>
            <w:vAlign w:val="center"/>
          </w:tcPr>
          <w:p w14:paraId="03EEA75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w="6576" w:type="dxa"/>
            <w:vAlign w:val="center"/>
          </w:tcPr>
          <w:p w14:paraId="2124676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本行不使用。客户端用本地发送时刻算时延。</w:t>
            </w:r>
          </w:p>
        </w:tc>
      </w:tr>
      <w:tr w14:paraId="24B38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286211A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（无）</w:t>
            </w:r>
          </w:p>
        </w:tc>
        <w:tc>
          <w:tcPr>
            <w:tcW w:w="1134" w:type="dxa"/>
            <w:vAlign w:val="center"/>
          </w:tcPr>
          <w:p w14:paraId="52195C8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w="6576" w:type="dxa"/>
            <w:vAlign w:val="center"/>
          </w:tcPr>
          <w:p w14:paraId="08356AA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本行不使用。响应 n=0 表示跳过/静音。</w:t>
            </w:r>
          </w:p>
        </w:tc>
      </w:tr>
      <w:tr w14:paraId="19A03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3B66ABF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n</w:t>
            </w:r>
          </w:p>
        </w:tc>
        <w:tc>
          <w:tcPr>
            <w:tcW w:w="1134" w:type="dxa"/>
            <w:vAlign w:val="center"/>
          </w:tcPr>
          <w:p w14:paraId="156A8E8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4B</w:t>
            </w:r>
          </w:p>
        </w:tc>
        <w:tc>
          <w:tcPr>
            <w:tcW w:w="6576" w:type="dxa"/>
            <w:vAlign w:val="center"/>
          </w:tcPr>
          <w:p w14:paraId="372AA2F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uint32 大端采样点数</w:t>
            </w:r>
          </w:p>
        </w:tc>
      </w:tr>
      <w:tr w14:paraId="54387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06A113D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pcm</w:t>
            </w:r>
          </w:p>
        </w:tc>
        <w:tc>
          <w:tcPr>
            <w:tcW w:w="1134" w:type="dxa"/>
            <w:vAlign w:val="center"/>
          </w:tcPr>
          <w:p w14:paraId="5F2AAA0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n×4B</w:t>
            </w:r>
          </w:p>
        </w:tc>
        <w:tc>
          <w:tcPr>
            <w:tcW w:w="6576" w:type="dxa"/>
            <w:vAlign w:val="center"/>
          </w:tcPr>
          <w:p w14:paraId="55D0CAA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n个float32 PCM。响应末尾可再附8字节阶段耗时（feature/index/pitch/model 各2字节）</w:t>
            </w:r>
          </w:p>
        </w:tc>
      </w:tr>
    </w:tbl>
    <w:p w14:paraId="1AF2AAC6">
      <w:pPr>
        <w:spacing w:after="40"/>
      </w:pPr>
    </w:p>
    <w:p w14:paraId="26A4C8B2">
      <w:pPr>
        <w:spacing w:before="120" w:after="40"/>
      </w:pPr>
      <w:r>
        <w:rPr>
          <w:rFonts w:ascii="Times New Roman" w:hAnsi="Times New Roman" w:eastAsia="黑体"/>
          <w:b/>
          <w:i w:val="0"/>
          <w:color w:val="000000"/>
          <w:sz w:val="25"/>
        </w:rPr>
        <w:t>3.3 控制消息（JSON文本帧）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020"/>
        <w:gridCol w:w="6463"/>
      </w:tblGrid>
      <w:tr w14:paraId="78F2E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1F4E79"/>
            <w:vAlign w:val="center"/>
          </w:tcPr>
          <w:p w14:paraId="3A492D7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消息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1FF18D5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方向</w:t>
            </w:r>
          </w:p>
        </w:tc>
        <w:tc>
          <w:tcPr>
            <w:tcW w:w="6463" w:type="dxa"/>
            <w:shd w:val="clear" w:color="auto" w:fill="1F4E79"/>
            <w:vAlign w:val="center"/>
          </w:tcPr>
          <w:p w14:paraId="7AD85B5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关键字段</w:t>
            </w:r>
          </w:p>
        </w:tc>
      </w:tr>
      <w:tr w14:paraId="26F14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7922F1A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load</w:t>
            </w:r>
          </w:p>
        </w:tc>
        <w:tc>
          <w:tcPr>
            <w:tcW w:w="1020" w:type="dxa"/>
            <w:vAlign w:val="center"/>
          </w:tcPr>
          <w:p w14:paraId="7A7C73F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C→S</w:t>
            </w:r>
          </w:p>
        </w:tc>
        <w:tc>
          <w:tcPr>
            <w:tcW w:w="6463" w:type="dxa"/>
            <w:vAlign w:val="center"/>
          </w:tcPr>
          <w:p w14:paraId="7EB1260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JSON action=load，带 model_path、index_path 及音高/检索等参数</w:t>
            </w:r>
          </w:p>
        </w:tc>
      </w:tr>
      <w:tr w14:paraId="09746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56B5CF7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load/start 回复</w:t>
            </w:r>
          </w:p>
        </w:tc>
        <w:tc>
          <w:tcPr>
            <w:tcW w:w="1020" w:type="dxa"/>
            <w:vAlign w:val="center"/>
          </w:tcPr>
          <w:p w14:paraId="398D63C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S→C</w:t>
            </w:r>
          </w:p>
        </w:tc>
        <w:tc>
          <w:tcPr>
            <w:tcW w:w="6463" w:type="dxa"/>
            <w:vAlign w:val="center"/>
          </w:tcPr>
          <w:p w14:paraId="03044FE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成功回 status、samplerate、channels、block_size、model_path、index_path；失败回 error</w:t>
            </w:r>
          </w:p>
        </w:tc>
      </w:tr>
      <w:tr w14:paraId="031B2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078B649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ping</w:t>
            </w:r>
          </w:p>
        </w:tc>
        <w:tc>
          <w:tcPr>
            <w:tcW w:w="1020" w:type="dxa"/>
            <w:vAlign w:val="center"/>
          </w:tcPr>
          <w:p w14:paraId="74CD2F8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双向</w:t>
            </w:r>
          </w:p>
        </w:tc>
        <w:tc>
          <w:tcPr>
            <w:tcW w:w="6463" w:type="dxa"/>
            <w:vAlign w:val="center"/>
          </w:tcPr>
          <w:p w14:paraId="4DED5C2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JSON action=ping 回 pong；服务端 WebSocket ping_interval=20s</w:t>
            </w:r>
          </w:p>
        </w:tc>
      </w:tr>
      <w:tr w14:paraId="6BFEC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792A684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error</w:t>
            </w:r>
          </w:p>
        </w:tc>
        <w:tc>
          <w:tcPr>
            <w:tcW w:w="1020" w:type="dxa"/>
            <w:vAlign w:val="center"/>
          </w:tcPr>
          <w:p w14:paraId="003A892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S→C</w:t>
            </w:r>
          </w:p>
        </w:tc>
        <w:tc>
          <w:tcPr>
            <w:tcW w:w="6463" w:type="dxa"/>
            <w:vAlign w:val="center"/>
          </w:tcPr>
          <w:p w14:paraId="20706BA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失败回 JSON error 字段，无旁路通知帧</w:t>
            </w:r>
          </w:p>
        </w:tc>
      </w:tr>
      <w:tr w14:paraId="38AA6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0F7F7F8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stop</w:t>
            </w:r>
          </w:p>
        </w:tc>
        <w:tc>
          <w:tcPr>
            <w:tcW w:w="1020" w:type="dxa"/>
            <w:vAlign w:val="center"/>
          </w:tcPr>
          <w:p w14:paraId="6F67F7D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双向</w:t>
            </w:r>
          </w:p>
        </w:tc>
        <w:tc>
          <w:tcPr>
            <w:tcW w:w="6463" w:type="dxa"/>
            <w:vAlign w:val="center"/>
          </w:tcPr>
          <w:p w14:paraId="32A1F9F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JSON action=stop 回 status=stopped；断开即释放会话</w:t>
            </w:r>
          </w:p>
        </w:tc>
      </w:tr>
    </w:tbl>
    <w:p w14:paraId="773004E5">
      <w:pPr>
        <w:spacing w:after="40"/>
      </w:pPr>
    </w:p>
    <w:p w14:paraId="2C5CB191">
      <w:pPr>
        <w:spacing w:before="200" w:after="80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四、云端管理（本期无 REST 接口）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3515"/>
        <w:gridCol w:w="1587"/>
        <w:gridCol w:w="1474"/>
      </w:tblGrid>
      <w:tr w14:paraId="75822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1F4E79"/>
            <w:vAlign w:val="center"/>
          </w:tcPr>
          <w:p w14:paraId="0A8F7F5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方法/路径</w:t>
            </w:r>
          </w:p>
        </w:tc>
        <w:tc>
          <w:tcPr>
            <w:tcW w:w="3515" w:type="dxa"/>
            <w:shd w:val="clear" w:color="auto" w:fill="1F4E79"/>
            <w:vAlign w:val="center"/>
          </w:tcPr>
          <w:p w14:paraId="5FB8318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w="1587" w:type="dxa"/>
            <w:shd w:val="clear" w:color="auto" w:fill="1F4E79"/>
            <w:vAlign w:val="center"/>
          </w:tcPr>
          <w:p w14:paraId="11BE5DD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w="1474" w:type="dxa"/>
            <w:shd w:val="clear" w:color="auto" w:fill="1F4E79"/>
            <w:vAlign w:val="center"/>
          </w:tcPr>
          <w:p w14:paraId="5874E73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审计</w:t>
            </w:r>
          </w:p>
        </w:tc>
      </w:tr>
      <w:tr w14:paraId="5B920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vAlign w:val="center"/>
          </w:tcPr>
          <w:p w14:paraId="0592365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放置模型文件</w:t>
            </w:r>
          </w:p>
        </w:tc>
        <w:tc>
          <w:tcPr>
            <w:tcW w:w="3515" w:type="dxa"/>
            <w:vAlign w:val="center"/>
          </w:tcPr>
          <w:p w14:paraId="7B1AD51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把 .pth 放到服务器 assets/weights，无 REST</w:t>
            </w:r>
          </w:p>
        </w:tc>
        <w:tc>
          <w:tcPr>
            <w:tcW w:w="1587" w:type="dxa"/>
            <w:vAlign w:val="center"/>
          </w:tcPr>
          <w:p w14:paraId="18B830E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运维</w:t>
            </w:r>
          </w:p>
        </w:tc>
        <w:tc>
          <w:tcPr>
            <w:tcW w:w="1474" w:type="dxa"/>
            <w:vAlign w:val="center"/>
          </w:tcPr>
          <w:p w14:paraId="7F45146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—</w:t>
            </w:r>
          </w:p>
        </w:tc>
      </w:tr>
      <w:tr w14:paraId="25C98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vAlign w:val="center"/>
          </w:tcPr>
          <w:p w14:paraId="40D05D7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列出角色/模型</w:t>
            </w:r>
          </w:p>
        </w:tc>
        <w:tc>
          <w:tcPr>
            <w:tcW w:w="3515" w:type="dxa"/>
            <w:vAlign w:val="center"/>
          </w:tcPr>
          <w:p w14:paraId="2ED07B9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客户端 speakers.json，或 JSON action=list_models</w:t>
            </w:r>
          </w:p>
        </w:tc>
        <w:tc>
          <w:tcPr>
            <w:tcW w:w="1587" w:type="dxa"/>
            <w:vAlign w:val="center"/>
          </w:tcPr>
          <w:p w14:paraId="3E3D938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运维</w:t>
            </w:r>
          </w:p>
        </w:tc>
        <w:tc>
          <w:tcPr>
            <w:tcW w:w="1474" w:type="dxa"/>
            <w:vAlign w:val="center"/>
          </w:tcPr>
          <w:p w14:paraId="6CBE62D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—</w:t>
            </w:r>
          </w:p>
        </w:tc>
      </w:tr>
      <w:tr w14:paraId="3702C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vAlign w:val="center"/>
          </w:tcPr>
          <w:p w14:paraId="3B0BD2F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停用某角色</w:t>
            </w:r>
          </w:p>
        </w:tc>
        <w:tc>
          <w:tcPr>
            <w:tcW w:w="3515" w:type="dxa"/>
            <w:vAlign w:val="center"/>
          </w:tcPr>
          <w:p w14:paraId="0ECBA5B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客户机不选该角色，或移走服务器 .pth</w:t>
            </w:r>
          </w:p>
        </w:tc>
        <w:tc>
          <w:tcPr>
            <w:tcW w:w="1587" w:type="dxa"/>
            <w:vAlign w:val="center"/>
          </w:tcPr>
          <w:p w14:paraId="41B6F71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运维</w:t>
            </w:r>
          </w:p>
        </w:tc>
        <w:tc>
          <w:tcPr>
            <w:tcW w:w="1474" w:type="dxa"/>
            <w:vAlign w:val="center"/>
          </w:tcPr>
          <w:p w14:paraId="51F6482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—</w:t>
            </w:r>
          </w:p>
        </w:tc>
      </w:tr>
      <w:tr w14:paraId="26F55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vAlign w:val="center"/>
          </w:tcPr>
          <w:p w14:paraId="44A1B70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删除模型文件</w:t>
            </w:r>
          </w:p>
        </w:tc>
        <w:tc>
          <w:tcPr>
            <w:tcW w:w="3515" w:type="dxa"/>
            <w:vAlign w:val="center"/>
          </w:tcPr>
          <w:p w14:paraId="501AAAE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运维直接删服务器文件，无 REST</w:t>
            </w:r>
          </w:p>
        </w:tc>
        <w:tc>
          <w:tcPr>
            <w:tcW w:w="1587" w:type="dxa"/>
            <w:vAlign w:val="center"/>
          </w:tcPr>
          <w:p w14:paraId="1AB5033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运维</w:t>
            </w:r>
          </w:p>
        </w:tc>
        <w:tc>
          <w:tcPr>
            <w:tcW w:w="1474" w:type="dxa"/>
            <w:vAlign w:val="center"/>
          </w:tcPr>
          <w:p w14:paraId="5D166C1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—</w:t>
            </w:r>
          </w:p>
        </w:tc>
      </w:tr>
      <w:tr w14:paraId="7430D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vAlign w:val="center"/>
          </w:tcPr>
          <w:p w14:paraId="4AC881A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（无此接口）</w:t>
            </w:r>
          </w:p>
        </w:tc>
        <w:tc>
          <w:tcPr>
            <w:tcW w:w="3515" w:type="dxa"/>
            <w:vAlign w:val="center"/>
          </w:tcPr>
          <w:p w14:paraId="000AA5A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无坐席绑定，客户机自选角色</w:t>
            </w:r>
          </w:p>
        </w:tc>
        <w:tc>
          <w:tcPr>
            <w:tcW w:w="1587" w:type="dxa"/>
            <w:vAlign w:val="center"/>
          </w:tcPr>
          <w:p w14:paraId="05E4DD9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w="1474" w:type="dxa"/>
            <w:vAlign w:val="center"/>
          </w:tcPr>
          <w:p w14:paraId="0800AFA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—</w:t>
            </w:r>
          </w:p>
        </w:tc>
      </w:tr>
      <w:tr w14:paraId="3B26C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vAlign w:val="center"/>
          </w:tcPr>
          <w:p w14:paraId="6162976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查推理日志</w:t>
            </w:r>
          </w:p>
        </w:tc>
        <w:tc>
          <w:tcPr>
            <w:tcW w:w="3515" w:type="dxa"/>
            <w:vAlign w:val="center"/>
          </w:tcPr>
          <w:p w14:paraId="581FAAE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查看 /root/songwang/rvc-infer/rvc_server.log</w:t>
            </w:r>
          </w:p>
        </w:tc>
        <w:tc>
          <w:tcPr>
            <w:tcW w:w="1587" w:type="dxa"/>
            <w:vAlign w:val="center"/>
          </w:tcPr>
          <w:p w14:paraId="507B3C3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运维</w:t>
            </w:r>
          </w:p>
        </w:tc>
        <w:tc>
          <w:tcPr>
            <w:tcW w:w="1474" w:type="dxa"/>
            <w:vAlign w:val="center"/>
          </w:tcPr>
          <w:p w14:paraId="05F6278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—</w:t>
            </w:r>
          </w:p>
        </w:tc>
      </w:tr>
      <w:tr w14:paraId="2FAE5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vAlign w:val="center"/>
          </w:tcPr>
          <w:p w14:paraId="0B50677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（无此接口）</w:t>
            </w:r>
          </w:p>
        </w:tc>
        <w:tc>
          <w:tcPr>
            <w:tcW w:w="3515" w:type="dxa"/>
            <w:vAlign w:val="center"/>
          </w:tcPr>
          <w:p w14:paraId="37D382A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看客户端卡顿；服务器 nvidia-smi 与 rvc_server.log，无 /metrics</w:t>
            </w:r>
          </w:p>
        </w:tc>
        <w:tc>
          <w:tcPr>
            <w:tcW w:w="1587" w:type="dxa"/>
            <w:vAlign w:val="center"/>
          </w:tcPr>
          <w:p w14:paraId="0554BAC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运维</w:t>
            </w:r>
          </w:p>
        </w:tc>
        <w:tc>
          <w:tcPr>
            <w:tcW w:w="1474" w:type="dxa"/>
            <w:vAlign w:val="center"/>
          </w:tcPr>
          <w:p w14:paraId="4B0035F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—</w:t>
            </w:r>
          </w:p>
        </w:tc>
      </w:tr>
    </w:tbl>
    <w:p w14:paraId="0AC43921">
      <w:pPr>
        <w:spacing w:after="40"/>
      </w:pPr>
    </w:p>
    <w:p w14:paraId="34D12429">
      <w:pPr>
        <w:spacing w:before="200" w:after="80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五、配置项默认值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398"/>
        <w:gridCol w:w="4701"/>
      </w:tblGrid>
      <w:tr w14:paraId="0B87B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75F6EB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配置</w:t>
            </w:r>
          </w:p>
        </w:tc>
        <w:tc>
          <w:tcPr>
            <w:tcW w:w="1587" w:type="dxa"/>
            <w:shd w:val="clear" w:color="auto" w:fill="1F4E79"/>
            <w:vAlign w:val="center"/>
          </w:tcPr>
          <w:p w14:paraId="69272D3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默认</w:t>
            </w:r>
          </w:p>
        </w:tc>
        <w:tc>
          <w:tcPr>
            <w:tcW w:w="5102" w:type="dxa"/>
            <w:shd w:val="clear" w:color="auto" w:fill="1F4E79"/>
            <w:vAlign w:val="center"/>
          </w:tcPr>
          <w:p w14:paraId="657BFDB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 w14:paraId="714F2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84B113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sample_rate</w:t>
            </w:r>
          </w:p>
        </w:tc>
        <w:tc>
          <w:tcPr>
            <w:tcW w:w="1587" w:type="dxa"/>
            <w:vAlign w:val="center"/>
          </w:tcPr>
          <w:p w14:paraId="0464B55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模型tgt_sr（现网48kHz）</w:t>
            </w:r>
          </w:p>
        </w:tc>
        <w:tc>
          <w:tcPr>
            <w:tcW w:w="5102" w:type="dxa"/>
            <w:vAlign w:val="center"/>
          </w:tcPr>
          <w:p w14:paraId="7CAFC37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内部采样率</w:t>
            </w:r>
          </w:p>
        </w:tc>
      </w:tr>
      <w:tr w14:paraId="3A0C2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A8AECA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codec</w:t>
            </w:r>
          </w:p>
        </w:tc>
        <w:tc>
          <w:tcPr>
            <w:tcW w:w="1587" w:type="dxa"/>
            <w:vAlign w:val="center"/>
          </w:tcPr>
          <w:p w14:paraId="2403088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pcm_float32</w:t>
            </w:r>
          </w:p>
        </w:tc>
        <w:tc>
          <w:tcPr>
            <w:tcW w:w="5102" w:type="dxa"/>
            <w:vAlign w:val="center"/>
          </w:tcPr>
          <w:p w14:paraId="6D994F2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端云不压缩，传PCM</w:t>
            </w:r>
          </w:p>
        </w:tc>
      </w:tr>
      <w:tr w14:paraId="0DC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E0C5E8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block_time</w:t>
            </w:r>
          </w:p>
        </w:tc>
        <w:tc>
          <w:tcPr>
            <w:tcW w:w="1587" w:type="dxa"/>
            <w:vAlign w:val="center"/>
          </w:tcPr>
          <w:p w14:paraId="6183F63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约60ms</w:t>
            </w:r>
          </w:p>
        </w:tc>
        <w:tc>
          <w:tcPr>
            <w:tcW w:w="5102" w:type="dxa"/>
            <w:vAlign w:val="center"/>
          </w:tcPr>
          <w:p w14:paraId="13ADE64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块长说明</w:t>
            </w:r>
          </w:p>
        </w:tc>
      </w:tr>
      <w:tr w14:paraId="19F10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9F2833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block_ms</w:t>
            </w:r>
          </w:p>
        </w:tc>
        <w:tc>
          <w:tcPr>
            <w:tcW w:w="1587" w:type="dxa"/>
            <w:vAlign w:val="center"/>
          </w:tcPr>
          <w:p w14:paraId="3B18AF3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约60（block_time）</w:t>
            </w:r>
          </w:p>
        </w:tc>
        <w:tc>
          <w:tcPr>
            <w:tcW w:w="5102" w:type="dxa"/>
            <w:vAlign w:val="center"/>
          </w:tcPr>
          <w:p w14:paraId="5A121F9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RVC推理块长，可调</w:t>
            </w:r>
          </w:p>
        </w:tc>
      </w:tr>
      <w:tr w14:paraId="0F48B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07137A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overlap_ratio</w:t>
            </w:r>
          </w:p>
        </w:tc>
        <w:tc>
          <w:tcPr>
            <w:tcW w:w="1587" w:type="dxa"/>
            <w:vAlign w:val="center"/>
          </w:tcPr>
          <w:p w14:paraId="273E179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约0.33（crossfade_time/block_time）</w:t>
            </w:r>
          </w:p>
        </w:tc>
        <w:tc>
          <w:tcPr>
            <w:tcW w:w="5102" w:type="dxa"/>
            <w:vAlign w:val="center"/>
          </w:tcPr>
          <w:p w14:paraId="5EBF7F9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交叉淡化</w:t>
            </w:r>
          </w:p>
        </w:tc>
      </w:tr>
      <w:tr w14:paraId="2E1E0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80017A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denoise</w:t>
            </w:r>
          </w:p>
        </w:tc>
        <w:tc>
          <w:tcPr>
            <w:tcW w:w="1587" w:type="dxa"/>
            <w:vAlign w:val="center"/>
          </w:tcPr>
          <w:p w14:paraId="4BB9DB2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默认关</w:t>
            </w:r>
          </w:p>
        </w:tc>
        <w:tc>
          <w:tcPr>
            <w:tcW w:w="5102" w:type="dxa"/>
            <w:vAlign w:val="center"/>
          </w:tcPr>
          <w:p w14:paraId="45814C0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可选输入输出降噪</w:t>
            </w:r>
          </w:p>
        </w:tc>
      </w:tr>
      <w:tr w14:paraId="4839B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76407B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recv_timeout</w:t>
            </w:r>
          </w:p>
        </w:tc>
        <w:tc>
          <w:tcPr>
            <w:tcW w:w="1587" w:type="dxa"/>
            <w:vAlign w:val="center"/>
          </w:tcPr>
          <w:p w14:paraId="5D3E658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自适应</w:t>
            </w:r>
          </w:p>
        </w:tc>
        <w:tc>
          <w:tcPr>
            <w:tcW w:w="5102" w:type="dxa"/>
            <w:vAlign w:val="center"/>
          </w:tcPr>
          <w:p w14:paraId="7622114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收包等待上限约1.5s</w:t>
            </w:r>
          </w:p>
        </w:tc>
      </w:tr>
      <w:tr w14:paraId="2AF31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B2C254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infer_timeout_ms</w:t>
            </w:r>
          </w:p>
        </w:tc>
        <w:tc>
          <w:tcPr>
            <w:tcW w:w="1587" w:type="dxa"/>
            <w:vAlign w:val="center"/>
          </w:tcPr>
          <w:p w14:paraId="7897422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加载等待最长90s；音频按RTT超时</w:t>
            </w:r>
          </w:p>
        </w:tc>
        <w:tc>
          <w:tcPr>
            <w:tcW w:w="5102" w:type="dxa"/>
            <w:vAlign w:val="center"/>
          </w:tcPr>
          <w:p w14:paraId="07CC208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超时回静音/跳过该块</w:t>
            </w:r>
          </w:p>
        </w:tc>
      </w:tr>
      <w:tr w14:paraId="1F331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94E4B7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max_sessions</w:t>
            </w:r>
          </w:p>
        </w:tc>
        <w:tc>
          <w:tcPr>
            <w:tcW w:w="1587" w:type="dxa"/>
            <w:vAlign w:val="center"/>
          </w:tcPr>
          <w:p w14:paraId="0A25E59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w="5102" w:type="dxa"/>
            <w:vAlign w:val="center"/>
          </w:tcPr>
          <w:p w14:paraId="39F167F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现网单路；硬件T4×2但不默认双开</w:t>
            </w:r>
          </w:p>
        </w:tc>
      </w:tr>
      <w:tr w14:paraId="2BE80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804060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auth_required</w:t>
            </w:r>
          </w:p>
        </w:tc>
        <w:tc>
          <w:tcPr>
            <w:tcW w:w="1587" w:type="dxa"/>
            <w:vAlign w:val="center"/>
          </w:tcPr>
          <w:p w14:paraId="3BE1594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false（无授权体系）</w:t>
            </w:r>
          </w:p>
        </w:tc>
        <w:tc>
          <w:tcPr>
            <w:tcW w:w="5102" w:type="dxa"/>
            <w:vAlign w:val="center"/>
          </w:tcPr>
          <w:p w14:paraId="6D09B5B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无登录、无授权码</w:t>
            </w:r>
          </w:p>
        </w:tc>
      </w:tr>
      <w:tr w14:paraId="037C7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4BE860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watermark</w:t>
            </w:r>
          </w:p>
        </w:tc>
        <w:tc>
          <w:tcPr>
            <w:tcW w:w="1587" w:type="dxa"/>
            <w:vAlign w:val="center"/>
          </w:tcPr>
          <w:p w14:paraId="7B29A8C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无</w:t>
            </w:r>
          </w:p>
        </w:tc>
        <w:tc>
          <w:tcPr>
            <w:tcW w:w="5102" w:type="dxa"/>
            <w:vAlign w:val="center"/>
          </w:tcPr>
          <w:p w14:paraId="71C2468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无水印开关</w:t>
            </w:r>
          </w:p>
        </w:tc>
      </w:tr>
      <w:tr w14:paraId="7B7BE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769218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关变声还原</w:t>
            </w:r>
          </w:p>
        </w:tc>
        <w:tc>
          <w:tcPr>
            <w:tcW w:w="1587" w:type="dxa"/>
            <w:vAlign w:val="center"/>
          </w:tcPr>
          <w:p w14:paraId="5F564DC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关变声即原声</w:t>
            </w:r>
          </w:p>
        </w:tc>
        <w:tc>
          <w:tcPr>
            <w:tcW w:w="5102" w:type="dxa"/>
            <w:vAlign w:val="center"/>
          </w:tcPr>
          <w:p w14:paraId="436C476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停变声或退出客户端即系统原声</w:t>
            </w:r>
          </w:p>
        </w:tc>
      </w:tr>
    </w:tbl>
    <w:p w14:paraId="64B91E71">
      <w:pPr>
        <w:spacing w:after="40"/>
      </w:pPr>
    </w:p>
    <w:p w14:paraId="6590A640">
      <w:pPr>
        <w:spacing w:before="200" w:after="80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六、故障分类（程序返回中文/英文错误串</w:t>
      </w:r>
      <w:bookmarkStart w:id="0" w:name="_GoBack"/>
      <w:bookmarkEnd w:id="0"/>
      <w:r>
        <w:rPr>
          <w:rFonts w:ascii="Times New Roman" w:hAnsi="Times New Roman" w:eastAsia="黑体"/>
          <w:b/>
          <w:i w:val="0"/>
          <w:color w:val="000000"/>
          <w:sz w:val="30"/>
        </w:rPr>
        <w:t>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3742"/>
        <w:gridCol w:w="4535"/>
      </w:tblGrid>
      <w:tr w14:paraId="640E4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1F4E79"/>
            <w:vAlign w:val="center"/>
          </w:tcPr>
          <w:p w14:paraId="05B9BD6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码</w:t>
            </w:r>
          </w:p>
        </w:tc>
        <w:tc>
          <w:tcPr>
            <w:tcW w:w="3742" w:type="dxa"/>
            <w:shd w:val="clear" w:color="auto" w:fill="1F4E79"/>
            <w:vAlign w:val="center"/>
          </w:tcPr>
          <w:p w14:paraId="677DE88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含义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09F7682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处置</w:t>
            </w:r>
          </w:p>
        </w:tc>
      </w:tr>
      <w:tr w14:paraId="348A4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2A7EE60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w="3742" w:type="dxa"/>
            <w:vAlign w:val="center"/>
          </w:tcPr>
          <w:p w14:paraId="54E0F63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正常</w:t>
            </w:r>
          </w:p>
        </w:tc>
        <w:tc>
          <w:tcPr>
            <w:tcW w:w="4535" w:type="dxa"/>
            <w:vAlign w:val="center"/>
          </w:tcPr>
          <w:p w14:paraId="5801195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—</w:t>
            </w:r>
          </w:p>
        </w:tc>
      </w:tr>
      <w:tr w14:paraId="182D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541C716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连接失败</w:t>
            </w:r>
          </w:p>
        </w:tc>
        <w:tc>
          <w:tcPr>
            <w:tcW w:w="3742" w:type="dxa"/>
            <w:vAlign w:val="center"/>
          </w:tcPr>
          <w:p w14:paraId="137AF23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未连接/连接失败</w:t>
            </w:r>
          </w:p>
        </w:tc>
        <w:tc>
          <w:tcPr>
            <w:tcW w:w="4535" w:type="dxa"/>
            <w:vAlign w:val="center"/>
          </w:tcPr>
          <w:p w14:paraId="18576B5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提示先点连接；不启动变声</w:t>
            </w:r>
          </w:p>
        </w:tc>
      </w:tr>
      <w:tr w14:paraId="4BDBB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1F3558B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加载失败</w:t>
            </w:r>
          </w:p>
        </w:tc>
        <w:tc>
          <w:tcPr>
            <w:tcW w:w="3742" w:type="dxa"/>
            <w:vAlign w:val="center"/>
          </w:tcPr>
          <w:p w14:paraId="732B108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找不到.pth/.index或加载失败</w:t>
            </w:r>
          </w:p>
        </w:tc>
        <w:tc>
          <w:tcPr>
            <w:tcW w:w="4535" w:type="dxa"/>
            <w:vAlign w:val="center"/>
          </w:tcPr>
          <w:p w14:paraId="2C3226C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弹窗「模型加载失败」，保持原声</w:t>
            </w:r>
          </w:p>
        </w:tc>
      </w:tr>
      <w:tr w14:paraId="02258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5A01F34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等待超时</w:t>
            </w:r>
          </w:p>
        </w:tc>
        <w:tc>
          <w:tcPr>
            <w:tcW w:w="3742" w:type="dxa"/>
            <w:vAlign w:val="center"/>
          </w:tcPr>
          <w:p w14:paraId="25B3815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加载/推理等待超时</w:t>
            </w:r>
          </w:p>
        </w:tc>
        <w:tc>
          <w:tcPr>
            <w:tcW w:w="4535" w:type="dxa"/>
            <w:vAlign w:val="center"/>
          </w:tcPr>
          <w:p w14:paraId="085B661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该块静音或跳过；换角色可再点一次</w:t>
            </w:r>
          </w:p>
        </w:tc>
      </w:tr>
      <w:tr w14:paraId="785CA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0BAB8D7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CUDA损坏</w:t>
            </w:r>
          </w:p>
        </w:tc>
        <w:tc>
          <w:tcPr>
            <w:tcW w:w="3742" w:type="dxa"/>
            <w:vAlign w:val="center"/>
          </w:tcPr>
          <w:p w14:paraId="3FAE24E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CUDA损坏/illegal memory access</w:t>
            </w:r>
          </w:p>
        </w:tc>
        <w:tc>
          <w:tcPr>
            <w:tcW w:w="4535" w:type="dxa"/>
            <w:vAlign w:val="center"/>
          </w:tcPr>
          <w:p w14:paraId="69AAE1F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进程退出，start_rvc.sh看门狗重启</w:t>
            </w:r>
          </w:p>
        </w:tc>
      </w:tr>
      <w:tr w14:paraId="29F5B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0BAD036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连接断开</w:t>
            </w:r>
          </w:p>
        </w:tc>
        <w:tc>
          <w:tcPr>
            <w:tcW w:w="3742" w:type="dxa"/>
            <w:vAlign w:val="center"/>
          </w:tcPr>
          <w:p w14:paraId="6C9C377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WebSocket断开</w:t>
            </w:r>
          </w:p>
        </w:tc>
        <w:tc>
          <w:tcPr>
            <w:tcW w:w="4535" w:type="dxa"/>
            <w:vAlign w:val="center"/>
          </w:tcPr>
          <w:p w14:paraId="6EBAC3F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变声停止，提示重新连接</w:t>
            </w:r>
          </w:p>
        </w:tc>
      </w:tr>
      <w:tr w14:paraId="35C8C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36B364C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设备不可用</w:t>
            </w:r>
          </w:p>
        </w:tc>
        <w:tc>
          <w:tcPr>
            <w:tcW w:w="3742" w:type="dxa"/>
            <w:vAlign w:val="center"/>
          </w:tcPr>
          <w:p w14:paraId="4CCA03C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输出设备不可用（虚拟声卡非必须）</w:t>
            </w:r>
          </w:p>
        </w:tc>
        <w:tc>
          <w:tcPr>
            <w:tcW w:w="4535" w:type="dxa"/>
            <w:vAlign w:val="center"/>
          </w:tcPr>
          <w:p w14:paraId="77B3F33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打开「虚拟声卡向导」引导安装，或改选系统耳机/扬声器</w:t>
            </w:r>
          </w:p>
        </w:tc>
      </w:tr>
      <w:tr w14:paraId="660E7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372CC92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设备占用</w:t>
            </w:r>
          </w:p>
        </w:tc>
        <w:tc>
          <w:tcPr>
            <w:tcW w:w="3742" w:type="dxa"/>
            <w:vAlign w:val="center"/>
          </w:tcPr>
          <w:p w14:paraId="1B986BE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设备被占用或未选</w:t>
            </w:r>
          </w:p>
        </w:tc>
        <w:tc>
          <w:tcPr>
            <w:tcW w:w="4535" w:type="dxa"/>
            <w:vAlign w:val="center"/>
          </w:tcPr>
          <w:p w14:paraId="1D6713E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刷新设备后重选，关闭占用程序</w:t>
            </w:r>
          </w:p>
        </w:tc>
      </w:tr>
      <w:tr w14:paraId="4AD91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701770D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其它错误</w:t>
            </w:r>
          </w:p>
        </w:tc>
        <w:tc>
          <w:tcPr>
            <w:tcW w:w="3742" w:type="dxa"/>
            <w:vAlign w:val="center"/>
          </w:tcPr>
          <w:p w14:paraId="445B2FA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其它内部错误</w:t>
            </w:r>
          </w:p>
        </w:tc>
        <w:tc>
          <w:tcPr>
            <w:tcW w:w="4535" w:type="dxa"/>
            <w:vAlign w:val="center"/>
          </w:tcPr>
          <w:p w14:paraId="7929091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停变声，查客户端日志与rvc_server.log</w:t>
            </w:r>
          </w:p>
        </w:tc>
      </w:tr>
    </w:tbl>
    <w:p w14:paraId="0DE35BA3">
      <w:pPr>
        <w:spacing w:after="40"/>
      </w:pPr>
    </w:p>
    <w:p w14:paraId="19EDBB9D">
      <w:pPr>
        <w:spacing w:before="200" w:after="80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七、异常与安全设计</w:t>
      </w:r>
    </w:p>
    <w:p w14:paraId="0B681FA2">
      <w:pPr>
        <w:spacing w:line="360" w:lineRule="auto"/>
        <w:ind w:left="36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● 技术故障：停变声即系统原声。无授权体系。CUDA损坏由看门狗拉起，不把OOM算进必退。</w:t>
      </w:r>
    </w:p>
    <w:p w14:paraId="072D600C">
      <w:pPr>
        <w:spacing w:line="360" w:lineRule="auto"/>
        <w:ind w:left="36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● 本期ws://明文，无mTLS、无坐席令牌。云端音频不落盘。管理靠服务器文件权限；推理口TCP 8765须放行（云安全组按实际核对）。客户端角色名单在AppData，可录音到本地record_out（用户主动时）。</w:t>
      </w:r>
    </w:p>
    <w:sectPr>
      <w:footerReference r:id="rId5" w:type="default"/>
      <w:pgSz w:w="12240" w:h="15840"/>
      <w:pgMar w:top="1440" w:right="1474" w:bottom="1440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48EB9">
    <w:pPr>
      <w:pStyle w:val="24"/>
      <w:jc w:val="center"/>
    </w:pPr>
    <w:r>
      <w:rPr>
        <w:rFonts w:ascii="Times New Roman" w:hAnsi="Times New Roman" w:eastAsia="宋体"/>
        <w:b w:val="0"/>
        <w:i w:val="0"/>
        <w:color w:val="000000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/>
        <w:b w:val="0"/>
        <w:i w:val="0"/>
        <w:color w:val="000000"/>
        <w:sz w:val="18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/>
        <w:b w:val="0"/>
        <w:i w:val="0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CA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?>
<Relationships xmlns="http://schemas.openxmlformats.org/package/2006/relationships">
  <Relationship Id="rId9" Type="http://schemas.openxmlformats.org/officeDocument/2006/relationships/fontTable" Target="fontTable.xml"/>
  <Relationship Id="rId8" Type="http://schemas.openxmlformats.org/officeDocument/2006/relationships/customXml" Target="../customXml/item1.xml"/>
  <Relationship Id="rId7" Type="http://schemas.openxmlformats.org/officeDocument/2006/relationships/numbering" Target="numbering.xml"/>
  <Relationship Id="rId6" Type="http://schemas.openxmlformats.org/officeDocument/2006/relationships/theme" Target="theme/theme1.xml"/>
  <Relationship Id="rId5" Type="http://schemas.openxmlformats.org/officeDocument/2006/relationships/footer" Target="footer1.xml"/>
  <Relationship Id="rId4" Type="http://schemas.openxmlformats.org/officeDocument/2006/relationships/endnotes" Target="endnotes.xml"/>
  <Relationship Id="rId3" Type="http://schemas.openxmlformats.org/officeDocument/2006/relationships/footnotes" Target="footnotes.xml"/>
  <Relationship Id="rId2" Type="http://schemas.openxmlformats.org/officeDocument/2006/relationships/settings" Target="settings.xml"/>
  <Relationship Id="rId1" Type="http://schemas.openxmlformats.org/officeDocument/2006/relationships/styles" Target="styles.xml"/>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?>
<Relationships xmlns="http://schemas.openxmlformats.org/package/2006/relationships">
  <Relationship Id="rId1" Type="http://schemas.openxmlformats.org/officeDocument/2006/relationships/customXmlProps" Target="itemProps1.xml"/>
</Relationships>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1085</Words>
  <Characters>1844</Characters>
  <Lines>0</Lines>
  <Paragraphs>0</Paragraphs>
  <TotalTime>0</TotalTime>
  <ScaleCrop>false</ScaleCrop>
  <LinksUpToDate>false</LinksUpToDate>
  <CharactersWithSpaces>1913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阿聪</cp:lastModifiedBy>
  <dcterms:modified xsi:type="dcterms:W3CDTF">2026-09-02T03:21:57Z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eyJoZGlkIjoiNmJjZGMxZmZmOWM2MmNkZjY1ZmVmMTc0Nzk1YTQ3NzIiLCJ1c2VySWQiOiIxMjY4NjY5MTYzIn0=</vt:lpwstr>
  </property>
  <property fmtid="{D5CDD505-2E9C-101B-9397-08002B2CF9AE}" pid="3" name="KSOProductBuildVer">
    <vt:lpwstr>2052-12.1.0.28043</vt:lpwstr>
  </property>
  <property fmtid="{D5CDD505-2E9C-101B-9397-08002B2CF9AE}" pid="4" name="ICV">
    <vt:lpwstr>272BEF6D4E7E4F03B133F4512828A743_12</vt:lpwstr>
  </property>
</Properties>
</file>