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75274">
      <w:pPr>
        <w:pStyle w:val="2"/>
        <w:spacing w:before="600" w:after="400" w:line="400" w:lineRule="auto"/>
        <w:jc w:val="center"/>
      </w:pPr>
      <w:r>
        <w:rPr>
          <w:rFonts w:ascii="黑体" w:hAnsi="黑体" w:eastAsia="黑体" w:cs="黑体"/>
          <w:b/>
          <w:bCs/>
          <w:color w:val="000000"/>
          <w:sz w:val="36"/>
          <w:szCs w:val="36"/>
        </w:rPr>
        <w:t>智能内容协作平台项目立项文档</w:t>
      </w:r>
    </w:p>
    <w:p w14:paraId="2736280B">
      <w:pPr>
        <w:spacing w:before="200"/>
      </w:pPr>
    </w:p>
    <w:p w14:paraId="2FAA617F">
      <w:pPr>
        <w:spacing w:before="200"/>
      </w:pPr>
      <w:bookmarkStart w:id="0" w:name="_GoBack"/>
      <w:bookmarkEnd w:id="0"/>
    </w:p>
    <w:p w14:paraId="2D6D3989">
      <w:r>
        <w:br w:type="page"/>
      </w:r>
    </w:p>
    <w:p w14:paraId="32FB835D">
      <w:pPr>
        <w:pStyle w:val="3"/>
        <w:pBdr>
          <w:bottom w:val="single" w:color="1A56DB" w:sz="4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color w:val="000000"/>
          <w:sz w:val="24"/>
          <w:szCs w:val="24"/>
        </w:rPr>
        <w:t>一、背景</w:t>
      </w:r>
    </w:p>
    <w:p w14:paraId="29495924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当前，传统媒体与新媒体融合进入深水区，行业面临三重结构性挑战。第一，内容供给效率与市场需求严重失衡。全媒体时代，用户内容消费频次提升3-5倍，但传统采编团队的日均产出能力基本恒定。地市级融媒体中心普遍存在"稿源缺口"，原创内容产能仅能满足约40%的分发需求，大量频道时段和新媒体位处于低填充率状态。</w:t>
      </w:r>
    </w:p>
    <w:p w14:paraId="520C399E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第二，多平台分发导致运营成本线性增长。一个内容团队往往需要同时覆盖App、网站、微信、抖音、快手、小红书等6-10个渠道，每个渠道的排版规范、审核标准、发布节奏各不相同。人工适配带来的边际成本居高不下，且错误率随渠道数量递增。</w:t>
      </w:r>
    </w:p>
    <w:p w14:paraId="0180462C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第三，内容质量一致性难以保障。传统模式下，选题策划、稿件撰写、审核把关高度依赖个人经验，缺乏系统化的质量标准与流程闭环。热点响应速度慢、选题重复率高、审核标准执行不一致等问题普遍存在。</w:t>
      </w:r>
    </w:p>
    <w:p w14:paraId="188CA543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与此同时，大语言模型与多模态AI技术已跨越概念验证阶段，进入产业落地窗口期。AI在文本生成、语义理解、内容审核、视频脚本生成等环节已展现出可量化的效率提升（行业平均提效3-8倍）。率先将AI能力嵌入内容生产全链路的媒体机构，将在内容时效性、覆盖广度和运营成本上形成显著竞争优势。</w:t>
      </w:r>
    </w:p>
    <w:p w14:paraId="17AC9BC1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基于上述行业痛点与技术窗口，建设一套以AI为核心驱动力的智能内容协作平台，已成为媒体数字化转型的刚性需求。</w:t>
      </w:r>
    </w:p>
    <w:p w14:paraId="65F0FF36">
      <w:pPr>
        <w:pStyle w:val="3"/>
        <w:pBdr>
          <w:bottom w:val="single" w:color="1A56DB" w:sz="4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color w:val="000000"/>
          <w:sz w:val="24"/>
          <w:szCs w:val="24"/>
        </w:rPr>
        <w:t>二、建设内容</w:t>
      </w:r>
    </w:p>
    <w:p w14:paraId="2B93F17C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（一）项目意义</w:t>
      </w:r>
    </w:p>
    <w:p w14:paraId="5FF0AB0D">
      <w:pPr>
        <w:spacing w:before="240" w:after="120" w:line="320" w:lineRule="auto"/>
      </w:pPr>
      <w:r>
        <w:rPr>
          <w:rFonts w:ascii="黑体" w:hAnsi="黑体" w:eastAsia="黑体" w:cs="黑体"/>
          <w:b/>
          <w:bCs/>
          <w:color w:val="000000"/>
          <w:sz w:val="18"/>
          <w:szCs w:val="18"/>
        </w:rPr>
        <w:t>1.战略价值</w:t>
      </w:r>
    </w:p>
    <w:p w14:paraId="66091918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本项目将AI能力从"单点工具"升级为"系统级能力"，实现从辅助工具到生产基础设施的战略跃迁。平台建成后，媒体机构可构建"AI数字员工团队"协作范式，将人力从重复性内容生产中释放，聚焦于创意策划与价值判断等高阶工作，实现组织能力的结构性升级。</w:t>
      </w:r>
    </w:p>
    <w:p w14:paraId="5F3BCEB7">
      <w:pPr>
        <w:spacing w:before="240" w:after="120" w:line="320" w:lineRule="auto"/>
      </w:pPr>
      <w:r>
        <w:rPr>
          <w:rFonts w:ascii="黑体" w:hAnsi="黑体" w:eastAsia="黑体" w:cs="黑体"/>
          <w:b/>
          <w:bCs/>
          <w:color w:val="000000"/>
          <w:sz w:val="18"/>
          <w:szCs w:val="18"/>
        </w:rPr>
        <w:t>2.业务价值</w:t>
      </w:r>
    </w:p>
    <w:p w14:paraId="67C4730D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项目预期实现以下可量化的业务目标：内容产出效率提升，日均原创内容产出量提升300%以上；多渠道覆盖能力增强，单条内容自动适配分发渠道数≥8个；热点响应时效缩短，从热点发生到内容上线缩短至30分钟以内；内容审核通过率提高，AI辅助审核后一次通过率≥95%；运营人效提升，单人管理的频道/栏目数量提升200%。</w:t>
      </w:r>
    </w:p>
    <w:p w14:paraId="1A31CE3E">
      <w:pPr>
        <w:spacing w:before="240" w:after="120" w:line="320" w:lineRule="auto"/>
      </w:pPr>
      <w:r>
        <w:rPr>
          <w:rFonts w:ascii="黑体" w:hAnsi="黑体" w:eastAsia="黑体" w:cs="黑体"/>
          <w:b/>
          <w:bCs/>
          <w:color w:val="000000"/>
          <w:sz w:val="18"/>
          <w:szCs w:val="18"/>
        </w:rPr>
        <w:t>3.建设合理性</w:t>
      </w:r>
    </w:p>
    <w:p w14:paraId="512E352A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需求合理性：平台覆盖的37个功能模块和27+场景模板均来自媒体内容生产的真实业务流程，每个模块对应一个可独立度量的业务指标，不存在脱离实际需求的"技术堆砌"。</w:t>
      </w:r>
    </w:p>
    <w:p w14:paraId="3C79F71B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架构合理性：采用"主智能体统筹+专项AI员工协作"的组织模式，天然映射媒体采编团队的实际分工结构（策划→采写→审核→分发→复盘），降低了组织适配成本和学习门槛。</w:t>
      </w:r>
    </w:p>
    <w:p w14:paraId="699B3BC2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风险可控性：平台采用"AI辅助、人工把关"的人机协作模式，所有关键环节（发布、审核、敏感内容判断）保留人工决策节点，确保内容安全底线不被突破，符合媒体行业监管合规要求。</w:t>
      </w:r>
    </w:p>
    <w:p w14:paraId="6C229B29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（二）设计要求</w:t>
      </w:r>
    </w:p>
    <w:p w14:paraId="7BB6618C">
      <w:pPr>
        <w:spacing w:before="240" w:after="120" w:line="320" w:lineRule="auto"/>
      </w:pPr>
      <w:r>
        <w:rPr>
          <w:rFonts w:ascii="黑体" w:hAnsi="黑体" w:eastAsia="黑体" w:cs="黑体"/>
          <w:b/>
          <w:bCs/>
          <w:color w:val="000000"/>
          <w:sz w:val="18"/>
          <w:szCs w:val="18"/>
        </w:rPr>
        <w:t>1.设计理念</w:t>
      </w:r>
    </w:p>
    <w:p w14:paraId="09679A91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平台设计围绕三个核心理念：AI优先，人机协同——将AI智能体定位为"数字员工"而非工具，每个智能体拥有独立身份、技能树和协作能力，人类用户以"管理者"身份进行编排和决策；场景驱动，技能组合——不预设固定流程，通过12大业务场景×27+技能的自由组合，覆盖从热点发现到内容分发的全链路，同时保持每个环节的可替换性；渐进智能，持续学习——平台具备记忆和自优化机制，智能体在执行任务过程中积累经验、提升准确率，而非每次从零开始。</w:t>
      </w:r>
    </w:p>
    <w:p w14:paraId="1C8C6325">
      <w:pPr>
        <w:spacing w:before="240" w:after="120" w:line="320" w:lineRule="auto"/>
      </w:pPr>
      <w:r>
        <w:rPr>
          <w:rFonts w:ascii="黑体" w:hAnsi="黑体" w:eastAsia="黑体" w:cs="黑体"/>
          <w:b/>
          <w:bCs/>
          <w:color w:val="000000"/>
          <w:sz w:val="18"/>
          <w:szCs w:val="18"/>
        </w:rPr>
        <w:t>2.设计原则</w:t>
      </w:r>
    </w:p>
    <w:p w14:paraId="20CF6208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模块化原则：智能体、技能、工作流、知识库各自独立，可单独升级或替换，不产生连锁影响。</w:t>
      </w:r>
    </w:p>
    <w:p w14:paraId="336BF4E0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可扩展原则：新增智能体角色、新增技能、新增分发渠道均无需改动核心框架。</w:t>
      </w:r>
    </w:p>
    <w:p w14:paraId="37EB6946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多租户隔离原则：不同组织的数据、配置、智能体实例完全隔离，互不可见。</w:t>
      </w:r>
    </w:p>
    <w:p w14:paraId="16D6880C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可观测原则：任务执行的每个步骤状态可追踪、可回溯，支持异常定位。</w:t>
      </w:r>
    </w:p>
    <w:p w14:paraId="0B749652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降级容错原则：AI服务不可用时，平台基础功能（内容编辑、任务查看）不受影响。</w:t>
      </w:r>
    </w:p>
    <w:p w14:paraId="26EB9790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（三）实现需求</w:t>
      </w:r>
    </w:p>
    <w:p w14:paraId="0CA8D5E7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R-01 智能体调度：支持主智能体统筹分配任务至专业智能体，支持并行执行与依赖排序，实现一次指令驱动多角色协作，降低操作成本。</w:t>
      </w:r>
    </w:p>
    <w:p w14:paraId="415EF31B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R-02 对话交互：支持自然语言发起任务，系统自动识别意图并路由至对应技能，支持多轮澄清和流式输出，用户无需学习操作路径，对话即操作。</w:t>
      </w:r>
    </w:p>
    <w:p w14:paraId="7A022A03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R-03 知识管理：支持个人/团队级知识库创建，支持文档导入、网页抓取、语义检索，智能体执行时自动调用相关知识，使智能体具备组织上下文，输出更贴合业务。</w:t>
      </w:r>
    </w:p>
    <w:p w14:paraId="744402A5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R-04 任务编排：支持可视化任务流程配置，支持条件分支、失败重试、实时进度展示，复杂工作流可沉淀为模板，团队可复用。</w:t>
      </w:r>
    </w:p>
    <w:p w14:paraId="47454433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R-05 内容生产：支持图文、视频脚本、播客稿等多格式内容生成，内置质量审核和敏感词过滤，一站式完成从选题到成稿。</w:t>
      </w:r>
    </w:p>
    <w:p w14:paraId="5D8C817C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R-06 多渠道分发：对接外部CMS系统，支持文章入库、栏目映射、发布状态回查，减少人工搬运，发布效率提升。</w:t>
      </w:r>
    </w:p>
    <w:p w14:paraId="2FE4DA07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R-07 数据反馈：支持发布后数据回收（阅读量、互动率等），形成"生产→发布→分析→优化"闭环，用数据驱动内容策略迭代。</w:t>
      </w:r>
    </w:p>
    <w:p w14:paraId="416CBD85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（四）部署要求</w:t>
      </w:r>
    </w:p>
    <w:p w14:paraId="1F514FA4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DEP-01 容器化交付：所有服务模块以容器镜像形式交付，统一编排调度，确保开发、测试、生产环境一致性。</w:t>
      </w:r>
    </w:p>
    <w:p w14:paraId="3A092E18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DEP-02 内网隔离部署：核心业务服务与数据库部署于内网，仅网关层暴露公网入口；AI推理服务与向量检索服务通过内网专线调用。</w:t>
      </w:r>
    </w:p>
    <w:p w14:paraId="09A6E2FD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DEP-03 高可用冗余：关键服务采用主从/多副本部署，单节点故障时自动切换，业务无感知；数据库具备自动故障转移与定时备份能力。</w:t>
      </w:r>
    </w:p>
    <w:p w14:paraId="049264C3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DEP-04 弹性伸缩：应用层支持基于负载指标的自动扩缩容，应对峰值流量；AI推理层支持按并发请求数动态调度推理实例。</w:t>
      </w:r>
    </w:p>
    <w:p w14:paraId="6F7FEE81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DEP-05 无中断发布：生产环境支持滚动更新，发布过程可观测、可快速回滚。</w:t>
      </w:r>
    </w:p>
    <w:p w14:paraId="381679FE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DEP-06 日志与监控：全链路日志采集与集中存储，关键指标实时监控并配置告警阈值。</w:t>
      </w:r>
    </w:p>
    <w:p w14:paraId="2BDBFB45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（五）测试要求</w:t>
      </w:r>
    </w:p>
    <w:p w14:paraId="38512AB6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TST-01 功能测试：覆盖全部功能模块的核心业务流程，包括AI员工协作链路、内容生产全流程、CMS发布对接等关键路径，用例覆盖率不低于85%。</w:t>
      </w:r>
    </w:p>
    <w:p w14:paraId="0734BA2D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TST-02 性能测试：模拟峰值用户并发场景，验证响应时间、吞吐量与资源占用满足性能指标要求；长时运行（72小时）稳定性测试无内存泄漏与服务降级。</w:t>
      </w:r>
    </w:p>
    <w:p w14:paraId="186A4E2E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TST-03 安全测试：覆盖身份认证、权限隔离（多租户数据隔离）、输入校验、接口防篡改；敏感数据传输与存储加密合规。</w:t>
      </w:r>
    </w:p>
    <w:p w14:paraId="670EEA22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TST-04 兼容性测试：主流浏览器（Chrome、Firefox、Edge、Safari）最近两个大版本兼容；移动端自适应布局可用。</w:t>
      </w:r>
    </w:p>
    <w:p w14:paraId="2D3CECB3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TST-05 回归测试：每次迭代发布前执行自动化回归，确保已有功能不受影响。</w:t>
      </w:r>
    </w:p>
    <w:p w14:paraId="44910EF2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（六）安全保障</w:t>
      </w:r>
    </w:p>
    <w:p w14:paraId="0B4884D9">
      <w:pPr>
        <w:spacing w:before="240" w:after="120" w:line="320" w:lineRule="auto"/>
      </w:pPr>
      <w:r>
        <w:rPr>
          <w:rFonts w:ascii="黑体" w:hAnsi="黑体" w:eastAsia="黑体" w:cs="黑体"/>
          <w:b/>
          <w:bCs/>
          <w:color w:val="000000"/>
          <w:sz w:val="18"/>
          <w:szCs w:val="18"/>
        </w:rPr>
        <w:t>1.LLM对话安全</w:t>
      </w:r>
    </w:p>
    <w:p w14:paraId="44003DA1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SEC-LLM-01：平台应对大模型输出内容进行实时安全过滤，拦截涉政、涉黄、涉暴等违规内容，确保输出符合内容安全规范，违规内容拦截率≥99%，误拦率≤1%。</w:t>
      </w:r>
    </w:p>
    <w:p w14:paraId="19940272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SEC-LLM-02：平台应具备提示词注入攻击防御能力，识别并阻断恶意构造的输入指令，注入攻击识别率≥98%，防御成功率≥99%。</w:t>
      </w:r>
    </w:p>
    <w:p w14:paraId="0CCEFBA9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SEC-LLM-03：平台应对敏感话题关键词进行分级管控，支持按组织维度配置敏感词策略，敏感词库覆盖≥5000条，策略生效延迟≤5秒。</w:t>
      </w:r>
    </w:p>
    <w:p w14:paraId="667E48FD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SEC-LLM-04：平台应记录所有AI对话的完整交互日志，支持事后追溯与审计，日志保留≥180天，查询响应≤3秒。</w:t>
      </w:r>
    </w:p>
    <w:p w14:paraId="3A939021">
      <w:pPr>
        <w:spacing w:before="240" w:after="120" w:line="320" w:lineRule="auto"/>
      </w:pPr>
      <w:r>
        <w:rPr>
          <w:rFonts w:ascii="黑体" w:hAnsi="黑体" w:eastAsia="黑体" w:cs="黑体"/>
          <w:b/>
          <w:bCs/>
          <w:color w:val="000000"/>
          <w:sz w:val="18"/>
          <w:szCs w:val="18"/>
        </w:rPr>
        <w:t>2.Skills执行安全</w:t>
      </w:r>
    </w:p>
    <w:p w14:paraId="3AD23458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SEC-SKILL-01：每个Skill应具备明确的权限边界声明，运行时仅能访问其声明的资源与接口，权限越界事件拦截率100%。</w:t>
      </w:r>
    </w:p>
    <w:p w14:paraId="046D9B57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SEC-SKILL-02：平台应对Skill执行过程进行实时监控，异常行为（超时、资源超限、错误率飙升）自动熔断，熔断响应时间≤2秒，误熔断率≤0.5%。</w:t>
      </w:r>
    </w:p>
    <w:p w14:paraId="23E1D3F0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SEC-SKILL-03：平台应记录每个Skill的完整执行轨迹（调用链、输入输出、耗时），支持审计追踪，审计记录完整率100%，轨迹查询响应≤5秒。</w:t>
      </w:r>
    </w:p>
    <w:p w14:paraId="57F9FEDC">
      <w:pPr>
        <w:spacing w:before="240" w:after="120" w:line="320" w:lineRule="auto"/>
      </w:pPr>
      <w:r>
        <w:rPr>
          <w:rFonts w:ascii="黑体" w:hAnsi="黑体" w:eastAsia="黑体" w:cs="黑体"/>
          <w:b/>
          <w:bCs/>
          <w:color w:val="000000"/>
          <w:sz w:val="18"/>
          <w:szCs w:val="18"/>
        </w:rPr>
        <w:t>3.Skills上传安全</w:t>
      </w:r>
    </w:p>
    <w:p w14:paraId="77F885B3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SEC-UPLOAD-01：用户上传的Skill文件应经过恶意内容检测，包括代码注入、恶意脚本、隐藏指令等，恶意内容检出率≥99%。</w:t>
      </w:r>
    </w:p>
    <w:p w14:paraId="2F411DE6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SEC-UPLOAD-02：平台应对上传文件进行格式校验、大小限制、类型白名单过滤，拒绝不合规文件，不合规文件拦截率100%。</w:t>
      </w:r>
    </w:p>
    <w:p w14:paraId="55E54AC9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SEC-UPLOAD-03：上传文件应在独立沙箱环境中完成解析与验证，隔离其对主系统的影响，沙箱逃逸防护率100%。</w:t>
      </w:r>
    </w:p>
    <w:p w14:paraId="33F8904D">
      <w:pPr>
        <w:spacing w:before="240" w:after="120" w:line="320" w:lineRule="auto"/>
      </w:pPr>
      <w:r>
        <w:rPr>
          <w:rFonts w:ascii="黑体" w:hAnsi="黑体" w:eastAsia="黑体" w:cs="黑体"/>
          <w:b/>
          <w:bCs/>
          <w:color w:val="000000"/>
          <w:sz w:val="18"/>
          <w:szCs w:val="18"/>
        </w:rPr>
        <w:t>4.数据安全</w:t>
      </w:r>
    </w:p>
    <w:p w14:paraId="58A321B3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SEC-DATA-01：平台应实现严格的多租户数据隔离，确保不同组织间的数据不可互访，隔离有效性验证通过率100%。</w:t>
      </w:r>
    </w:p>
    <w:p w14:paraId="46ADE175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SEC-DATA-02：平台所有数据传输应采用TLS 1.2及以上加密协议，静态存储敏感字段应加密，传输加密覆盖率100%。</w:t>
      </w:r>
    </w:p>
    <w:p w14:paraId="6B54B4ED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SEC-DATA-03：平台应支持自动化数据备份，并具备在≤4小时内完成数据恢复的能力，备份成功率≥99.9%，RTO≤4h，RPO≤1h。</w:t>
      </w:r>
    </w:p>
    <w:p w14:paraId="63493079">
      <w:pPr>
        <w:spacing w:before="240" w:after="120" w:line="320" w:lineRule="auto"/>
      </w:pPr>
      <w:r>
        <w:rPr>
          <w:rFonts w:ascii="黑体" w:hAnsi="黑体" w:eastAsia="黑体" w:cs="黑体"/>
          <w:b/>
          <w:bCs/>
          <w:color w:val="000000"/>
          <w:sz w:val="18"/>
          <w:szCs w:val="18"/>
        </w:rPr>
        <w:t>5.访问安全</w:t>
      </w:r>
    </w:p>
    <w:p w14:paraId="180144F1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SEC-ACCESS-01：平台应提供统一的身份认证机制，支持邮箱密码登录及第三方OAuth接入，认证成功率≥99.9%。</w:t>
      </w:r>
    </w:p>
    <w:p w14:paraId="1960A3E2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SEC-ACCESS-02：平台应实现基于角色的访问控制（RBAC），支持组织级、团队级、功能级三层层级权限管理，权限校验响应≤50ms。</w:t>
      </w:r>
    </w:p>
    <w:p w14:paraId="52A13655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SEC-ACCESS-03：平台应记录所有用户操作日志（登录、数据访问、配置变更），支持按时间/用户/操作类型检索，操作审计覆盖率100%，日志保留≥180天。</w:t>
      </w:r>
    </w:p>
    <w:p w14:paraId="7178D2F1">
      <w:r>
        <w:br w:type="page"/>
      </w:r>
    </w:p>
    <w:p w14:paraId="6A052223">
      <w:pPr>
        <w:pStyle w:val="3"/>
        <w:pBdr>
          <w:bottom w:val="single" w:color="1A56DB" w:sz="4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color w:val="000000"/>
          <w:sz w:val="24"/>
          <w:szCs w:val="24"/>
        </w:rPr>
        <w:t>三、功能指标</w:t>
      </w:r>
    </w:p>
    <w:p w14:paraId="330EE4F5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（一）智能体协作指标</w:t>
      </w:r>
    </w:p>
    <w:p w14:paraId="514DA556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意图识别准确率≥92%，即用户对话意图被正确路由至对应技能的比例；单次对话响应时间≤3s（首字输出），即流式输出场景下首字延迟；多智能体协作成功率≥95%，含主智能体调度+子任务执行的端到端成功率；任务完成准确率≥85%，即生成内容无需人工大幅修改即可直接使用的比例；上下文记忆命中率≥80%，即智能体执行任务时成功调用相关知识库内容的比例；任务推送成功率≥99.8%，即主智能体分发任务到目标员工的成功率；通知送达率100%，即任务完成后实时通知的送达率。</w:t>
      </w:r>
    </w:p>
    <w:p w14:paraId="618922FA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（二）Skills平台指标</w:t>
      </w:r>
    </w:p>
    <w:p w14:paraId="626E6185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内置技能覆盖数≥27个，涵盖选题、写作、审核、发布等全链路技能；工作流模板数≥27个，覆盖12大业务场景的预设模板；技能热加载时间≤5s，即新增或更新技能后生效时间；技能创建成功率（手动）≥99%，技能创建成功率（上传）≥95%；技能组合上限为10个技能串联，即单个工作流中技能组合的最大数量；CMS入库发布成功率≥99%，即文章从提交到CMS上线的端到端成功率；栏目同步准确率100%，即CMS栏目映射同步的准确率。</w:t>
      </w:r>
    </w:p>
    <w:p w14:paraId="4B194273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（三）部署运维指标</w:t>
      </w:r>
    </w:p>
    <w:p w14:paraId="52C1C257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平台可用性≥99.9%（月度），不含计划维护窗口；页面加载时间≤2s，即核心页面首屏渲染时间；故障恢复时间（MTTR）≤30min，即从故障发现到服务恢复；定时任务执行准确率100%，即调度任务准时执行率；数据库迁移成功率100%，即Schema变更推送成功率。</w:t>
      </w:r>
    </w:p>
    <w:p w14:paraId="1D693FF9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（四）安全指标</w:t>
      </w:r>
    </w:p>
    <w:p w14:paraId="5F436C63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敏感词拦截率≥99%，即内容发布前自动审核拦截违规内容；多租户数据泄露0次，即组织间数据严格隔离，无越权访问；权限校验覆盖率100%，即所有API和页面操作均经过角色权限校验；操作审计日志留存≥180天，即关键操作（发布、删除、权限变更）可追溯；恶意技能上传检测率≥99.9%，即用户上传技能的恶意内容检出率；LLM不当内容过滤率≥99.9%，即模型输出违规内容的拦截率；提示词攻击防御率≥99%，即Prompt注入攻击的防御成功率。</w:t>
      </w:r>
    </w:p>
    <w:p w14:paraId="3AACDE2E">
      <w:r>
        <w:br w:type="page"/>
      </w:r>
    </w:p>
    <w:p w14:paraId="730CCC70">
      <w:pPr>
        <w:pStyle w:val="3"/>
        <w:pBdr>
          <w:bottom w:val="single" w:color="1A56DB" w:sz="4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color w:val="000000"/>
          <w:sz w:val="24"/>
          <w:szCs w:val="24"/>
        </w:rPr>
        <w:t>四、性能指标</w:t>
      </w:r>
    </w:p>
    <w:p w14:paraId="43B138A5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（一）并发性能资源规划</w:t>
      </w:r>
    </w:p>
    <w:p w14:paraId="331DAEEB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注：以下指标基于Qwen2-910B-Instruct模型（INT4量化需18GB显存）测算，单卡支持2并发请求。实际部署需预留30%冗余应对突发，建议采用混合云架构弹性应对峰值流量。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5"/>
        <w:gridCol w:w="1125"/>
        <w:gridCol w:w="1125"/>
        <w:gridCol w:w="1125"/>
        <w:gridCol w:w="1125"/>
      </w:tblGrid>
      <w:tr w14:paraId="1CD05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60869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指标维度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9A07D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初期（100人）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001C6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中期（200人）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2DB98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成熟期（500人）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54BA8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峰值（800人）</w:t>
            </w:r>
          </w:p>
        </w:tc>
      </w:tr>
      <w:tr w14:paraId="674E0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354A6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计算资源（CPU/内存）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05A83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8核16GB×2实例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A524F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8核16GB×4实例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87D90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16核32GB×8实例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6A027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16核32GB×16实例</w:t>
            </w:r>
          </w:p>
        </w:tc>
      </w:tr>
      <w:tr w14:paraId="46F28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7A042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AI推理资源（GPU）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BB967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A6000 48GB×7卡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73E3D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A6000 48GB×12卡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C2434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A6000 48GB×39卡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68226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A6000 48GB×63卡（含云弹性）</w:t>
            </w:r>
          </w:p>
        </w:tc>
      </w:tr>
      <w:tr w14:paraId="7EFF1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08A63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存储资源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AA4EE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200GB SSD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4E007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500GB SSD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A7E85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1TB SSD+对象存储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DF375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2TB SSD+对象存储</w:t>
            </w:r>
          </w:p>
        </w:tc>
      </w:tr>
      <w:tr w14:paraId="2825F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9125E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网络带宽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72730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50Mbps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F7A50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100Mbps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964D9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200Mbps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9A6EB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500Mbps</w:t>
            </w:r>
          </w:p>
        </w:tc>
      </w:tr>
      <w:tr w14:paraId="29B6E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1AC1D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页面QPS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75DC2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≥30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9D984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≥60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A3768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≥150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2F937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≥250</w:t>
            </w:r>
          </w:p>
        </w:tc>
      </w:tr>
      <w:tr w14:paraId="0CBEC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7E4F2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API QPS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D3732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≥60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63A90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≥120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B1171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≥300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7319B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≥500</w:t>
            </w:r>
          </w:p>
        </w:tc>
      </w:tr>
      <w:tr w14:paraId="67970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C9669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平均响应时间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E4985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≤800ms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0493D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≤800ms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FA234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≤1s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318D0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≤1.2s</w:t>
            </w:r>
          </w:p>
        </w:tc>
      </w:tr>
    </w:tbl>
    <w:p w14:paraId="171C76F9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（二）系统稳定性指标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3"/>
        <w:gridCol w:w="2813"/>
      </w:tblGrid>
      <w:tr w14:paraId="147B1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2D885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指标项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D865E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目标值</w:t>
            </w:r>
          </w:p>
        </w:tc>
      </w:tr>
      <w:tr w14:paraId="3477D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0F490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系统可用性（月度）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FDBBF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≥99.9%</w:t>
            </w:r>
          </w:p>
        </w:tc>
      </w:tr>
      <w:tr w14:paraId="6172E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CA0F7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单点故障恢复时间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B6DA6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≤30秒（自动切换）</w:t>
            </w:r>
          </w:p>
        </w:tc>
      </w:tr>
      <w:tr w14:paraId="79DAD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C4AAB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数据备份频率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FB5B2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每日全量+实时增量</w:t>
            </w:r>
          </w:p>
        </w:tc>
      </w:tr>
      <w:tr w14:paraId="4A7BE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6FCF1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数据恢复RTO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4BEF4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≤1小时</w:t>
            </w:r>
          </w:p>
        </w:tc>
      </w:tr>
      <w:tr w14:paraId="6F1FE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7E205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数据恢复RPO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A9B4A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≤5分钟</w:t>
            </w:r>
          </w:p>
        </w:tc>
      </w:tr>
      <w:tr w14:paraId="03A98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3C893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发布回滚时间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B25FA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≤10分钟</w:t>
            </w:r>
          </w:p>
        </w:tc>
      </w:tr>
      <w:tr w14:paraId="57A1A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1573D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告警响应时间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BF3C1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≤5分钟</w:t>
            </w:r>
          </w:p>
        </w:tc>
      </w:tr>
    </w:tbl>
    <w:p w14:paraId="5F22BB58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（三）数据处理性能指标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3"/>
        <w:gridCol w:w="2813"/>
      </w:tblGrid>
      <w:tr w14:paraId="7DB51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3F2CC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指标项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503BA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目标值</w:t>
            </w:r>
          </w:p>
        </w:tc>
      </w:tr>
      <w:tr w14:paraId="1A32D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6C0A8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向量检索响应（1024维）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69F83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≤200ms（Top-10召回）</w:t>
            </w:r>
          </w:p>
        </w:tc>
      </w:tr>
      <w:tr w14:paraId="4885C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5A931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AI内容生成首字延迟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2C964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≤300ms（Qwen2-910B流式输出）</w:t>
            </w:r>
          </w:p>
        </w:tc>
      </w:tr>
      <w:tr w14:paraId="22E97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34E7D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AI内容生成速度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57256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≥80 tokens/s</w:t>
            </w:r>
          </w:p>
        </w:tc>
      </w:tr>
      <w:tr w14:paraId="062CD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D1E46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批量任务处理吞吐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C4075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≥60任务/分钟（GPU密集型）</w:t>
            </w:r>
          </w:p>
        </w:tc>
      </w:tr>
      <w:tr w14:paraId="11B63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4D503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热榜数据抓取延迟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13D09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≤5分钟（从发布到入库）</w:t>
            </w:r>
          </w:p>
        </w:tc>
      </w:tr>
      <w:tr w14:paraId="0E404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56034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CMS文章发布延迟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4F60E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≤3分钟（从提交到上线）</w:t>
            </w:r>
          </w:p>
        </w:tc>
      </w:tr>
      <w:tr w14:paraId="74DCE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2DB32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知识库文档向量化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3A75C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≤45秒/篇（万字符级）</w:t>
            </w:r>
          </w:p>
        </w:tc>
      </w:tr>
    </w:tbl>
    <w:p w14:paraId="7ADCF3F9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（四）低峰时间性能指标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3"/>
        <w:gridCol w:w="2813"/>
      </w:tblGrid>
      <w:tr w14:paraId="7A4D3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5C008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指标项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8B738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目标值</w:t>
            </w:r>
          </w:p>
        </w:tc>
      </w:tr>
      <w:tr w14:paraId="1DF17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48CA1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后半夜定时任务执行效率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0ED1F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资源利用率≥80%</w:t>
            </w:r>
          </w:p>
        </w:tc>
      </w:tr>
      <w:tr w14:paraId="70DB7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F7240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系统维护窗口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20664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每月≤4小时，且需安排在非工作时间</w:t>
            </w:r>
          </w:p>
        </w:tc>
      </w:tr>
    </w:tbl>
    <w:p w14:paraId="259FD64F">
      <w:r>
        <w:br w:type="page"/>
      </w:r>
    </w:p>
    <w:p w14:paraId="1AD5216C">
      <w:pPr>
        <w:pStyle w:val="3"/>
        <w:pBdr>
          <w:bottom w:val="single" w:color="1A56DB" w:sz="4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color w:val="000000"/>
          <w:sz w:val="24"/>
          <w:szCs w:val="24"/>
        </w:rPr>
        <w:t>五、资源测算</w:t>
      </w:r>
    </w:p>
    <w:p w14:paraId="5C56C083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（一）模型选型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8"/>
        <w:gridCol w:w="938"/>
        <w:gridCol w:w="938"/>
        <w:gridCol w:w="938"/>
        <w:gridCol w:w="938"/>
        <w:gridCol w:w="938"/>
      </w:tblGrid>
      <w:tr w14:paraId="61E2C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2BE98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模型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8089A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参数规模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82689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显存需求（INT4）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9C73E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推理速度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A1877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流式延迟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32C4F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上下文长度</w:t>
            </w:r>
          </w:p>
        </w:tc>
      </w:tr>
      <w:tr w14:paraId="6FD41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4F94F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Qwen2-910B-Instruct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B2FC7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910B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76E47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~18GB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3E373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~80 tokens/s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8A402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&lt;30ms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88C48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32K</w:t>
            </w:r>
          </w:p>
        </w:tc>
      </w:tr>
      <w:tr w14:paraId="0CEED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C52DE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Qwen3-72B-Instruct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521E1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72B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F0805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~36GB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B4F46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~20 tokens/s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9F14E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&lt;50ms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A16B6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8K</w:t>
            </w:r>
          </w:p>
        </w:tc>
      </w:tr>
    </w:tbl>
    <w:p w14:paraId="74D933F7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选型理由：Qwen2-910B-Instruct在推理质量和响应速度之间取得良好平衡，INT4量化后仅需18GB显存，A6000 48GB单卡可支持2并发请求，推理速度达80 tokens/s，原生支持流式输出，满足实时交互需求，且为国产模型完全自主可控。</w:t>
      </w:r>
    </w:p>
    <w:p w14:paraId="0BD86D02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（二）资源测算逻辑</w:t>
      </w:r>
    </w:p>
    <w:p w14:paraId="6A9B91E2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基础公式：单卡并发数 = 可用显存 / (模型显存 + KV缓存)。以A6000 48GB单卡为例，预留10%系统开销后可用43.2GB，Qwen2-910B INT4模型占18GB，KV缓存峰值6GB，合计24GB，因此单卡可支持2并发请求（43.2GB / 24GB ≈ 1.8 → 取整2）。</w:t>
      </w:r>
    </w:p>
    <w:p w14:paraId="0D5C0D4C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（三）综合GPU需求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8"/>
        <w:gridCol w:w="938"/>
        <w:gridCol w:w="938"/>
        <w:gridCol w:w="938"/>
        <w:gridCol w:w="938"/>
        <w:gridCol w:w="938"/>
      </w:tblGrid>
      <w:tr w14:paraId="5D590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8DD1A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阶段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293C8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日活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A44B4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基础问答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954E8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定时任务峰值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5FA9D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30%预留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5DBD6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总计GPU</w:t>
            </w:r>
          </w:p>
        </w:tc>
      </w:tr>
      <w:tr w14:paraId="27C65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F7959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初期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4C0A2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100人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DB44B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2卡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DFCC0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3卡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3C6A5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2卡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1EF78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7卡</w:t>
            </w:r>
          </w:p>
        </w:tc>
      </w:tr>
      <w:tr w14:paraId="13987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F8375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中期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C9CDE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200人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B5EF6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3卡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05189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6卡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2D3ED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3卡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660F0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12卡</w:t>
            </w:r>
          </w:p>
        </w:tc>
      </w:tr>
      <w:tr w14:paraId="5C952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7F6ED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成熟期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50F2F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500人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916D7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5卡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F2967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25卡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79196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9卡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13F3B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39卡</w:t>
            </w:r>
          </w:p>
        </w:tc>
      </w:tr>
      <w:tr w14:paraId="57991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316A8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峰值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DF905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800人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164EA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8卡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E23FA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40卡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B0D70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15卡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A980C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63卡</w:t>
            </w:r>
          </w:p>
        </w:tc>
      </w:tr>
    </w:tbl>
    <w:p w14:paraId="65821AA0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说明：当前2张A6000可满足初期需求（单卡支持2并发），中期需新增10张A6000，成熟期需39卡以上支撑，建议采用混合云架构弹性应对峰值流量。</w:t>
      </w:r>
    </w:p>
    <w:p w14:paraId="6059AFA2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（四）模型对比分析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7"/>
        <w:gridCol w:w="1407"/>
        <w:gridCol w:w="1407"/>
        <w:gridCol w:w="1407"/>
      </w:tblGrid>
      <w:tr w14:paraId="5B0EB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CDB04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维度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CEC52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Qwen2-910B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BB81F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Qwen3-72B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859E8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差异</w:t>
            </w:r>
          </w:p>
        </w:tc>
      </w:tr>
      <w:tr w14:paraId="10579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A79DC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单卡并发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A4793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2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F00DC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A12C6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+100%</w:t>
            </w:r>
          </w:p>
        </w:tc>
      </w:tr>
      <w:tr w14:paraId="17250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FB749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推理速度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22860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80 tokens/s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A2393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20 tokens/s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78308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+300%</w:t>
            </w:r>
          </w:p>
        </w:tc>
      </w:tr>
      <w:tr w14:paraId="59BC8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F2820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显存需求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20C65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18GB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C9D89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36GB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E0E9F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-50%</w:t>
            </w:r>
          </w:p>
        </w:tc>
      </w:tr>
      <w:tr w14:paraId="49313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1A90B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成熟期GPU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FC43C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39卡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9B930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37卡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A9FBC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+5%</w:t>
            </w:r>
          </w:p>
        </w:tc>
      </w:tr>
      <w:tr w14:paraId="6E863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11017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成本估算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B1ACF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386万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FC221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377万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D422D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+2.4%</w:t>
            </w:r>
          </w:p>
        </w:tc>
      </w:tr>
    </w:tbl>
    <w:p w14:paraId="69B978A7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结论：910B模型在并发能力和推理速度上显著优于72B，虽然成熟期GPU需求略高2.4%，但整体性价比更优，推荐采用Qwen2-910B-Instruct。</w:t>
      </w:r>
    </w:p>
    <w:p w14:paraId="7A7B35E8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（五）成本估算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7"/>
        <w:gridCol w:w="1407"/>
        <w:gridCol w:w="1407"/>
        <w:gridCol w:w="1407"/>
      </w:tblGrid>
      <w:tr w14:paraId="64274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455C0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配置项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6F777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单价（元）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EA55F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数量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6FBD3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小计（元）</w:t>
            </w:r>
          </w:p>
        </w:tc>
      </w:tr>
      <w:tr w14:paraId="2EF3F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527B6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A6000 48GB显卡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90848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45,000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362E7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39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8C370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1,755,000</w:t>
            </w:r>
          </w:p>
        </w:tc>
      </w:tr>
      <w:tr w14:paraId="3979C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9D03A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GPU服务器（4卡）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19DC2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200,000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6A7B9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10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01B2A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2,000,000</w:t>
            </w:r>
          </w:p>
        </w:tc>
      </w:tr>
      <w:tr w14:paraId="4EE25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44751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网络存储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A45EA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100,000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B56C9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DABA4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100,000</w:t>
            </w:r>
          </w:p>
        </w:tc>
      </w:tr>
      <w:tr w14:paraId="6386D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6C40D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总计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518A3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-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15E1E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-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4A5EE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3,855,000</w:t>
            </w:r>
          </w:p>
        </w:tc>
      </w:tr>
    </w:tbl>
    <w:p w14:paraId="1536BB17">
      <w:r>
        <w:br w:type="page"/>
      </w:r>
    </w:p>
    <w:p w14:paraId="6393249C">
      <w:pPr>
        <w:spacing w:before="120" w:after="120" w:line="360" w:lineRule="auto"/>
        <w:jc w:val="center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文档结束</w:t>
      </w:r>
    </w:p>
    <w:sectPr>
      <w:pgSz w:w="11906" w:h="16838"/>
      <w:pgMar w:top="2160" w:right="2880" w:bottom="2160" w:left="36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9ED6D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仿宋_GB2312" w:hAnsi="仿宋_GB2312" w:eastAsia="仿宋_GB2312" w:cs="仿宋_GB2312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_GB2312" w:hAnsi="仿宋_GB2312" w:eastAsia="仿宋_GB2312" w:cs="仿宋_GB2312"/>
      <w:color w:val="000000"/>
      <w:sz w:val="16"/>
      <w:szCs w:val="16"/>
    </w:rPr>
  </w:style>
  <w:style w:type="paragraph" w:styleId="2">
    <w:name w:val="heading 1"/>
    <w:next w:val="1"/>
    <w:qFormat/>
    <w:uiPriority w:val="0"/>
    <w:rPr>
      <w:rFonts w:ascii="仿宋_GB2312" w:hAnsi="仿宋_GB2312" w:eastAsia="仿宋_GB2312" w:cs="仿宋_GB2312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仿宋_GB2312" w:hAnsi="仿宋_GB2312" w:eastAsia="仿宋_GB2312" w:cs="仿宋_GB2312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仿宋_GB2312" w:hAnsi="仿宋_GB2312" w:eastAsia="仿宋_GB2312" w:cs="仿宋_GB2312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仿宋_GB2312" w:hAnsi="仿宋_GB2312" w:eastAsia="仿宋_GB2312" w:cs="仿宋_GB2312"/>
      <w:i/>
      <w:iCs/>
      <w:color w:val="2E74B5"/>
      <w:sz w:val="16"/>
      <w:szCs w:val="16"/>
    </w:rPr>
  </w:style>
  <w:style w:type="paragraph" w:styleId="6">
    <w:name w:val="heading 5"/>
    <w:next w:val="1"/>
    <w:qFormat/>
    <w:uiPriority w:val="0"/>
    <w:rPr>
      <w:rFonts w:ascii="仿宋_GB2312" w:hAnsi="仿宋_GB2312" w:eastAsia="仿宋_GB2312" w:cs="仿宋_GB2312"/>
      <w:color w:val="2E74B5"/>
      <w:sz w:val="16"/>
      <w:szCs w:val="16"/>
    </w:rPr>
  </w:style>
  <w:style w:type="paragraph" w:styleId="7">
    <w:name w:val="heading 6"/>
    <w:next w:val="1"/>
    <w:qFormat/>
    <w:uiPriority w:val="0"/>
    <w:rPr>
      <w:rFonts w:ascii="仿宋_GB2312" w:hAnsi="仿宋_GB2312" w:eastAsia="仿宋_GB2312" w:cs="仿宋_GB2312"/>
      <w:color w:val="1F4D78"/>
      <w:sz w:val="16"/>
      <w:szCs w:val="16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仿宋_GB2312" w:hAnsi="仿宋_GB2312" w:eastAsia="仿宋_GB2312" w:cs="仿宋_GB2312"/>
      <w:color w:val="000000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仿宋_GB2312" w:hAnsi="仿宋_GB2312" w:eastAsia="仿宋_GB2312" w:cs="仿宋_GB2312"/>
      <w:color w:val="000000"/>
      <w:sz w:val="20"/>
      <w:szCs w:val="20"/>
    </w:rPr>
  </w:style>
  <w:style w:type="paragraph" w:styleId="10">
    <w:name w:val="Title"/>
    <w:qFormat/>
    <w:uiPriority w:val="0"/>
    <w:rPr>
      <w:rFonts w:ascii="仿宋_GB2312" w:hAnsi="仿宋_GB2312" w:eastAsia="仿宋_GB2312" w:cs="仿宋_GB2312"/>
      <w:color w:val="000000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仿宋_GB2312" w:hAnsi="仿宋_GB2312" w:eastAsia="仿宋_GB2312" w:cs="仿宋_GB2312"/>
      <w:color w:val="000000"/>
      <w:sz w:val="16"/>
      <w:szCs w:val="16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5142</Words>
  <Characters>6246</Characters>
  <TotalTime>0</TotalTime>
  <ScaleCrop>false</ScaleCrop>
  <LinksUpToDate>false</LinksUpToDate>
  <CharactersWithSpaces>6309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2026-05-15T02:34:00Z</dcterms:created>
  <dc:creator>Un-named</dc:creator>
  <cp:lastModifiedBy>wzh</cp:lastModifiedBy>
  <dcterms:modified xsi:type="dcterms:W3CDTF">2026-05-15T02:36:07Z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eyJoZGlkIjoiODljZjRjOTY0NWFiZmEwOGE2YjE3ZWRmMDJmYjIzZjMifQ==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371BEF091F5F4EED811FACB84BBD844C_12</vt:lpwstr>
  </property>
</Properties>
</file>