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541AE6">
      <w:pPr>
        <w:pStyle w:val="2"/>
        <w:spacing w:before="600" w:after="400" w:line="400" w:lineRule="auto"/>
        <w:jc w:val="center"/>
      </w:pPr>
      <w:r>
        <w:rPr>
          <w:rFonts w:ascii="黑体" w:hAnsi="黑体" w:eastAsia="黑体" w:cs="黑体"/>
          <w:b/>
          <w:bCs/>
          <w:color w:val="000000"/>
          <w:sz w:val="36"/>
          <w:szCs w:val="36"/>
        </w:rPr>
        <w:t>VibeTide AI智能内容协作平台项目立项文档</w:t>
      </w:r>
    </w:p>
    <w:p w14:paraId="6EDFA5CE">
      <w:pPr>
        <w:spacing w:before="200"/>
      </w:pPr>
    </w:p>
    <w:p w14:paraId="1205BE34">
      <w:pPr>
        <w:spacing w:before="120" w:after="120" w:line="360" w:lineRule="auto"/>
        <w:jc w:val="center"/>
      </w:pPr>
      <w:r>
        <w:rPr>
          <w:rFonts w:ascii="仿宋_GB2312" w:hAnsi="仿宋_GB2312" w:eastAsia="仿宋_GB2312" w:cs="仿宋_GB2312"/>
          <w:b w:val="0"/>
          <w:bCs w:val="0"/>
          <w:color w:val="000000"/>
          <w:sz w:val="16"/>
          <w:szCs w:val="16"/>
        </w:rPr>
        <w:t>（公文格式）</w:t>
      </w:r>
    </w:p>
    <w:p w14:paraId="717E3EAF">
      <w:pPr>
        <w:spacing w:before="200"/>
      </w:pPr>
    </w:p>
    <w:p w14:paraId="2D292A40">
      <w:pPr>
        <w:spacing w:before="120" w:after="120" w:line="360" w:lineRule="auto"/>
        <w:jc w:val="center"/>
      </w:pPr>
      <w:r>
        <w:rPr>
          <w:rFonts w:ascii="仿宋_GB2312" w:hAnsi="仿宋_GB2312" w:eastAsia="仿宋_GB2312" w:cs="仿宋_GB2312"/>
          <w:b w:val="0"/>
          <w:bCs w:val="0"/>
          <w:color w:val="000000"/>
          <w:sz w:val="16"/>
          <w:szCs w:val="16"/>
        </w:rPr>
        <w:t>文件编号：VT-2026-PRO-001    密级：内部资料    版本：V1.0    编制日期：2026年5月</w:t>
      </w:r>
    </w:p>
    <w:p w14:paraId="5FBF7F62">
      <w:pPr>
        <w:spacing w:before="200"/>
      </w:pPr>
    </w:p>
    <w:p w14:paraId="0863287F">
      <w:r>
        <w:br w:type="page"/>
      </w:r>
    </w:p>
    <w:p w14:paraId="3F67893E">
      <w:pPr>
        <w:pStyle w:val="3"/>
        <w:pBdr>
          <w:bottom w:val="single" w:color="1A56DB" w:sz="4" w:space="0"/>
        </w:pBdr>
        <w:spacing w:before="480" w:after="240" w:line="360" w:lineRule="auto"/>
      </w:pPr>
      <w:r>
        <w:rPr>
          <w:rFonts w:ascii="黑体" w:hAnsi="黑体" w:eastAsia="黑体" w:cs="黑体"/>
          <w:b/>
          <w:bCs/>
          <w:color w:val="000000"/>
          <w:sz w:val="24"/>
          <w:szCs w:val="24"/>
        </w:rPr>
        <w:t>一、背景</w:t>
      </w:r>
    </w:p>
    <w:p w14:paraId="4B76306C">
      <w:pPr>
        <w:spacing w:before="120" w:after="120" w:line="360" w:lineRule="auto"/>
        <w:ind w:firstLine="420"/>
        <w:jc w:val="left"/>
      </w:pPr>
      <w:r>
        <w:rPr>
          <w:rFonts w:ascii="仿宋_GB2312" w:hAnsi="仿宋_GB2312" w:eastAsia="仿宋_GB2312" w:cs="仿宋_GB2312"/>
          <w:b w:val="0"/>
          <w:bCs w:val="0"/>
          <w:color w:val="000000"/>
          <w:sz w:val="16"/>
          <w:szCs w:val="16"/>
        </w:rPr>
        <w:t>当前，传统媒体与新媒体融合进入深水区，行业面临三重结构性挑战。第一，内容供给效率与市场需求严重失衡。全媒体时代，用户内容消费频次提升3-5倍，但传统采编团队的日均产出能力基本恒定。地市级融媒体中心普遍存在"稿源缺口"，原创内容产能仅能满足约40%的分发需求，大量频道时段和新媒体位处于低填充率状态。</w:t>
      </w:r>
    </w:p>
    <w:p w14:paraId="4CFA66FF">
      <w:pPr>
        <w:spacing w:before="120" w:after="120" w:line="360" w:lineRule="auto"/>
        <w:ind w:firstLine="420"/>
        <w:jc w:val="left"/>
      </w:pPr>
      <w:r>
        <w:rPr>
          <w:rFonts w:ascii="仿宋_GB2312" w:hAnsi="仿宋_GB2312" w:eastAsia="仿宋_GB2312" w:cs="仿宋_GB2312"/>
          <w:b w:val="0"/>
          <w:bCs w:val="0"/>
          <w:color w:val="000000"/>
          <w:sz w:val="16"/>
          <w:szCs w:val="16"/>
        </w:rPr>
        <w:t>第二，多平台分发导致运营成本线性增长。一个内容团队往往需要同时覆盖App、网站、微信、抖音、快手、小红书等6-10个渠道，每个渠道的排版规范、审核标准、发布节奏各不相同。人工适配带来的边际成本居高不下，且错误率随渠道数量递增。</w:t>
      </w:r>
    </w:p>
    <w:p w14:paraId="0CD636B8">
      <w:pPr>
        <w:spacing w:before="120" w:after="120" w:line="360" w:lineRule="auto"/>
        <w:ind w:firstLine="420"/>
        <w:jc w:val="left"/>
      </w:pPr>
      <w:r>
        <w:rPr>
          <w:rFonts w:ascii="仿宋_GB2312" w:hAnsi="仿宋_GB2312" w:eastAsia="仿宋_GB2312" w:cs="仿宋_GB2312"/>
          <w:b w:val="0"/>
          <w:bCs w:val="0"/>
          <w:color w:val="000000"/>
          <w:sz w:val="16"/>
          <w:szCs w:val="16"/>
        </w:rPr>
        <w:t>第三，内容质量一致性难以保障。传统模式下，选题策划、稿件撰写、审核把关高度依赖个人经验，缺乏系统化的质量标准与流程闭环。热点响应速度慢、选题重复率高、审核标准执行不一致等问题普遍存在。</w:t>
      </w:r>
    </w:p>
    <w:p w14:paraId="57B9CE79">
      <w:pPr>
        <w:spacing w:before="120" w:after="120" w:line="360" w:lineRule="auto"/>
        <w:ind w:firstLine="420"/>
        <w:jc w:val="left"/>
      </w:pPr>
      <w:r>
        <w:rPr>
          <w:rFonts w:ascii="仿宋_GB2312" w:hAnsi="仿宋_GB2312" w:eastAsia="仿宋_GB2312" w:cs="仿宋_GB2312"/>
          <w:b w:val="0"/>
          <w:bCs w:val="0"/>
          <w:color w:val="000000"/>
          <w:sz w:val="16"/>
          <w:szCs w:val="16"/>
        </w:rPr>
        <w:t>与此同时，大语言模型与多模态AI技术已跨越概念验证阶段，进入产业落地窗口期。AI在文本生成、语义理解、内容审核、视频脚本生成等环节已展现出可量化的效率提升（行业平均提效3-8倍）。率先将AI能力嵌入内容生产全链路的媒体机构，将在内容时效性、覆盖广度和运营成本上形成显著竞争优势。</w:t>
      </w:r>
    </w:p>
    <w:p w14:paraId="3FB56107">
      <w:pPr>
        <w:spacing w:before="120" w:after="120" w:line="360" w:lineRule="auto"/>
        <w:ind w:firstLine="420"/>
        <w:jc w:val="left"/>
      </w:pPr>
      <w:r>
        <w:rPr>
          <w:rFonts w:ascii="仿宋_GB2312" w:hAnsi="仿宋_GB2312" w:eastAsia="仿宋_GB2312" w:cs="仿宋_GB2312"/>
          <w:b w:val="0"/>
          <w:bCs w:val="0"/>
          <w:color w:val="000000"/>
          <w:sz w:val="16"/>
          <w:szCs w:val="16"/>
        </w:rPr>
        <w:t>基于上述行业痛点与技术窗口，建设一套以AI为核心驱动力的智能内容协作平台，已成为媒体数字化转型的刚性需求。</w:t>
      </w:r>
    </w:p>
    <w:p w14:paraId="736D1DB1">
      <w:pPr>
        <w:pStyle w:val="3"/>
        <w:pBdr>
          <w:bottom w:val="single" w:color="1A56DB" w:sz="4" w:space="0"/>
        </w:pBdr>
        <w:spacing w:before="480" w:after="240" w:line="360" w:lineRule="auto"/>
      </w:pPr>
      <w:r>
        <w:rPr>
          <w:rFonts w:ascii="黑体" w:hAnsi="黑体" w:eastAsia="黑体" w:cs="黑体"/>
          <w:b/>
          <w:bCs/>
          <w:color w:val="000000"/>
          <w:sz w:val="24"/>
          <w:szCs w:val="24"/>
        </w:rPr>
        <w:t>二、建设内容</w:t>
      </w:r>
    </w:p>
    <w:p w14:paraId="6E513681">
      <w:pPr>
        <w:pStyle w:val="4"/>
        <w:spacing w:before="360" w:after="180" w:line="340" w:lineRule="auto"/>
      </w:pPr>
      <w:r>
        <w:rPr>
          <w:rFonts w:ascii="黑体" w:hAnsi="黑体" w:eastAsia="黑体" w:cs="黑体"/>
          <w:b/>
          <w:bCs/>
          <w:color w:val="000000"/>
          <w:sz w:val="20"/>
          <w:szCs w:val="20"/>
        </w:rPr>
        <w:t>（一）项目意义</w:t>
      </w:r>
    </w:p>
    <w:p w14:paraId="707B8931">
      <w:pPr>
        <w:spacing w:before="240" w:after="120" w:line="320" w:lineRule="auto"/>
      </w:pPr>
      <w:r>
        <w:rPr>
          <w:rFonts w:ascii="黑体" w:hAnsi="黑体" w:eastAsia="黑体" w:cs="黑体"/>
          <w:b/>
          <w:bCs/>
          <w:color w:val="000000"/>
          <w:sz w:val="18"/>
          <w:szCs w:val="18"/>
        </w:rPr>
        <w:t>1.战略价值</w:t>
      </w:r>
    </w:p>
    <w:p w14:paraId="6514EB98">
      <w:pPr>
        <w:spacing w:before="120" w:after="120" w:line="360" w:lineRule="auto"/>
        <w:ind w:firstLine="420"/>
        <w:jc w:val="left"/>
      </w:pPr>
      <w:r>
        <w:rPr>
          <w:rFonts w:ascii="仿宋_GB2312" w:hAnsi="仿宋_GB2312" w:eastAsia="仿宋_GB2312" w:cs="仿宋_GB2312"/>
          <w:b w:val="0"/>
          <w:bCs w:val="0"/>
          <w:color w:val="000000"/>
          <w:sz w:val="16"/>
          <w:szCs w:val="16"/>
        </w:rPr>
        <w:t>本项目将AI能力从"单点工具"升级为"系统级能力"，实现从辅助工具到生产基础设施的战略跃迁。平台建成后，媒体机构可构建"AI数字员工团队"协作范式，将人力从重复性内容生产中释放，聚焦于创意策划与价值判断等高阶工作，实现组织能力的结构性升级。</w:t>
      </w:r>
    </w:p>
    <w:p w14:paraId="0BB1CE64">
      <w:pPr>
        <w:spacing w:before="240" w:after="120" w:line="320" w:lineRule="auto"/>
      </w:pPr>
      <w:r>
        <w:rPr>
          <w:rFonts w:ascii="黑体" w:hAnsi="黑体" w:eastAsia="黑体" w:cs="黑体"/>
          <w:b/>
          <w:bCs/>
          <w:color w:val="000000"/>
          <w:sz w:val="18"/>
          <w:szCs w:val="18"/>
        </w:rPr>
        <w:t>2.业务价值</w:t>
      </w:r>
    </w:p>
    <w:p w14:paraId="3C28BA41">
      <w:pPr>
        <w:spacing w:before="120" w:after="120" w:line="360" w:lineRule="auto"/>
        <w:ind w:firstLine="420"/>
        <w:jc w:val="left"/>
      </w:pPr>
      <w:r>
        <w:rPr>
          <w:rFonts w:ascii="仿宋_GB2312" w:hAnsi="仿宋_GB2312" w:eastAsia="仿宋_GB2312" w:cs="仿宋_GB2312"/>
          <w:b w:val="0"/>
          <w:bCs w:val="0"/>
          <w:color w:val="000000"/>
          <w:sz w:val="16"/>
          <w:szCs w:val="16"/>
        </w:rPr>
        <w:t>项目预期实现以下可量化的业务目标：内容产出效率提升，日均原创内容产出量提升300%以上；多渠道覆盖能力增强，单条内容自动适配分发渠道数≥8个；热点响应时效缩短，从热点发生到内容上线缩短至30分钟以内；内容审核通过率提高，AI辅助审核后一次通过率≥95%；运营人效提升，单人管理的频道/栏目数量提升200%。</w:t>
      </w:r>
    </w:p>
    <w:p w14:paraId="2125130A">
      <w:pPr>
        <w:spacing w:before="240" w:after="120" w:line="320" w:lineRule="auto"/>
      </w:pPr>
      <w:r>
        <w:rPr>
          <w:rFonts w:ascii="黑体" w:hAnsi="黑体" w:eastAsia="黑体" w:cs="黑体"/>
          <w:b/>
          <w:bCs/>
          <w:color w:val="000000"/>
          <w:sz w:val="18"/>
          <w:szCs w:val="18"/>
        </w:rPr>
        <w:t>3.建设合理性</w:t>
      </w:r>
    </w:p>
    <w:p w14:paraId="6133EB60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需求合理性：平台覆盖的37个功能模块和27+场景模板均来自媒体内容生产的真实业务流程，每个模块对应一个可独立度量的业务指标，不存在脱离实际需求的"技术堆砌"。</w:t>
      </w:r>
    </w:p>
    <w:p w14:paraId="3A075063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架构合理性：采用"主智能体统筹+专项AI员工协作"的组织模式，天然映射媒体采编团队的实际分工结构（策划→采写→审核→分发→复盘），降低了组织适配成本和学习门槛。</w:t>
      </w:r>
    </w:p>
    <w:p w14:paraId="262DC3AB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风险可控性：平台采用"AI辅助、人工把关"的人机协作模式，所有关键环节（发布、审核、敏感内容判断）保留人工决策节点，确保内容安全底线不被突破，符合媒体行业监管合规要求。</w:t>
      </w:r>
    </w:p>
    <w:p w14:paraId="19236333">
      <w:pPr>
        <w:pStyle w:val="4"/>
        <w:spacing w:before="360" w:after="180" w:line="340" w:lineRule="auto"/>
      </w:pPr>
      <w:r>
        <w:rPr>
          <w:rFonts w:ascii="黑体" w:hAnsi="黑体" w:eastAsia="黑体" w:cs="黑体"/>
          <w:b/>
          <w:bCs/>
          <w:color w:val="000000"/>
          <w:sz w:val="20"/>
          <w:szCs w:val="20"/>
        </w:rPr>
        <w:t>（二）设计要求</w:t>
      </w:r>
    </w:p>
    <w:p w14:paraId="54EAC87B">
      <w:pPr>
        <w:spacing w:before="240" w:after="120" w:line="320" w:lineRule="auto"/>
      </w:pPr>
      <w:r>
        <w:rPr>
          <w:rFonts w:ascii="黑体" w:hAnsi="黑体" w:eastAsia="黑体" w:cs="黑体"/>
          <w:b/>
          <w:bCs/>
          <w:color w:val="000000"/>
          <w:sz w:val="18"/>
          <w:szCs w:val="18"/>
        </w:rPr>
        <w:t>1.设计理念</w:t>
      </w:r>
    </w:p>
    <w:p w14:paraId="59875198">
      <w:pPr>
        <w:spacing w:before="120" w:after="120" w:line="360" w:lineRule="auto"/>
        <w:ind w:firstLine="420"/>
        <w:jc w:val="left"/>
      </w:pPr>
      <w:r>
        <w:rPr>
          <w:rFonts w:ascii="仿宋_GB2312" w:hAnsi="仿宋_GB2312" w:eastAsia="仿宋_GB2312" w:cs="仿宋_GB2312"/>
          <w:b w:val="0"/>
          <w:bCs w:val="0"/>
          <w:color w:val="000000"/>
          <w:sz w:val="16"/>
          <w:szCs w:val="16"/>
        </w:rPr>
        <w:t>平台设计围绕三个核心理念：AI优先，人机协同——将AI智能体定位为"数字员工"而非工具，每个智能体拥有独立身份、技能树和协作能力，人类用户以"管理者"身份进行编排和决策；场景驱动，技能组合——不预设固定流程，通过12大业务场景×27+技能的自由组合，覆盖从热点发现到内容分发的全链路，同时保持每个环节的可替换性；渐进智能，持续学习——平台具备记忆和自优化机制，智能体在执行任务过程中积累经验、提升准确率，而非每次从零开始。</w:t>
      </w:r>
    </w:p>
    <w:p w14:paraId="0242172A">
      <w:pPr>
        <w:spacing w:before="240" w:after="120" w:line="320" w:lineRule="auto"/>
      </w:pPr>
      <w:r>
        <w:rPr>
          <w:rFonts w:ascii="黑体" w:hAnsi="黑体" w:eastAsia="黑体" w:cs="黑体"/>
          <w:b/>
          <w:bCs/>
          <w:color w:val="000000"/>
          <w:sz w:val="18"/>
          <w:szCs w:val="18"/>
        </w:rPr>
        <w:t>2.设计原则</w:t>
      </w:r>
    </w:p>
    <w:p w14:paraId="0F6A0F6E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模块化原则：智能体、技能、工作流、知识库各自独立，可单独升级或替换，不产生连锁影响。</w:t>
      </w:r>
    </w:p>
    <w:p w14:paraId="0040EDF8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可扩展原则：新增智能体角色、新增技能、新增分发渠道均无需改动核心框架。</w:t>
      </w:r>
    </w:p>
    <w:p w14:paraId="7C1CD1ED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多租户隔离原则：不同组织的数据、配置、智能体实例完全隔离，互不可见。</w:t>
      </w:r>
    </w:p>
    <w:p w14:paraId="03079794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可观测原则：任务执行的每个步骤状态可追踪、可回溯，支持异常定位。</w:t>
      </w:r>
    </w:p>
    <w:p w14:paraId="689151D0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降级容错原则：AI服务不可用时，平台基础功能（内容编辑、任务查看）不受影响。</w:t>
      </w:r>
    </w:p>
    <w:p w14:paraId="58703313">
      <w:pPr>
        <w:pStyle w:val="4"/>
        <w:spacing w:before="360" w:after="180" w:line="340" w:lineRule="auto"/>
      </w:pPr>
      <w:r>
        <w:rPr>
          <w:rFonts w:ascii="黑体" w:hAnsi="黑体" w:eastAsia="黑体" w:cs="黑体"/>
          <w:b/>
          <w:bCs/>
          <w:color w:val="000000"/>
          <w:sz w:val="20"/>
          <w:szCs w:val="20"/>
        </w:rPr>
        <w:t>（三）实现需求</w:t>
      </w:r>
    </w:p>
    <w:p w14:paraId="4DA50752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R-01 智能体调度：支持主智能体统筹分配任务至专业智能体，支持并行执行与依赖排序，实现一次指令驱动多角色协作，降低操作成本。</w:t>
      </w:r>
    </w:p>
    <w:p w14:paraId="2672516C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R-02 对话交互：支持自然语言发起任务，系统自动识别意图并路由至对应技能，支持多轮澄清和流式输出，用户无需学习操作路径，对话即操作。</w:t>
      </w:r>
    </w:p>
    <w:p w14:paraId="6EF9A84D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R-03 知识管理：支持个人/团队级知识库创建，支持文档导入、网页抓取、语义检索，智能体执行时自动调用相关知识，使智能体具备组织上下文，输出更贴合业务。</w:t>
      </w:r>
    </w:p>
    <w:p w14:paraId="7CD91E9C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R-04 任务编排：支持可视化任务流程配置，支持条件分支、失败重试、实时进度展示，复杂工作流可沉淀为模板，团队可复用。</w:t>
      </w:r>
    </w:p>
    <w:p w14:paraId="6A919D50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R-05 内容生产：支持图文、视频脚本、播客稿等多格式内容生成，内置质量审核和敏感词过滤，一站式完成从选题到成稿。</w:t>
      </w:r>
    </w:p>
    <w:p w14:paraId="595C085C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R-06 多渠道分发：对接外部CMS系统，支持文章入库、栏目映射、发布状态回查，减少人工搬运，发布效率提升。</w:t>
      </w:r>
    </w:p>
    <w:p w14:paraId="070089B4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R-07 数据反馈：支持发布后数据回收（阅读量、互动率等），形成"生产→发布→分析→优化"闭环，用数据驱动内容策略迭代。</w:t>
      </w:r>
    </w:p>
    <w:p w14:paraId="1281A672">
      <w:pPr>
        <w:pStyle w:val="4"/>
        <w:spacing w:before="360" w:after="180" w:line="340" w:lineRule="auto"/>
      </w:pPr>
      <w:r>
        <w:rPr>
          <w:rFonts w:ascii="黑体" w:hAnsi="黑体" w:eastAsia="黑体" w:cs="黑体"/>
          <w:b/>
          <w:bCs/>
          <w:color w:val="000000"/>
          <w:sz w:val="20"/>
          <w:szCs w:val="20"/>
        </w:rPr>
        <w:t>（四）部署要求</w:t>
      </w:r>
    </w:p>
    <w:p w14:paraId="235662A2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DEP-01 容器化交付：所有服务模块以容器镜像形式交付，统一编排调度，确保开发、测试、生产环境一致性。</w:t>
      </w:r>
    </w:p>
    <w:p w14:paraId="66FE4A90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DEP-02 内网隔离部署：核心业务服务与数据库部署于内网，仅网关层暴露公网入口；AI推理服务与向量检索服务通过内网专线调用。</w:t>
      </w:r>
    </w:p>
    <w:p w14:paraId="5AE5B39A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DEP-03 高可用冗余：关键服务采用主从/多副本部署，单节点故障时自动切换，业务无感知；数据库具备自动故障转移与定时备份能力。</w:t>
      </w:r>
    </w:p>
    <w:p w14:paraId="1E9ECDBB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DEP-04 弹性伸缩：应用层支持基于负载指标的自动扩缩容，应对峰值流量；AI推理层支持按并发请求数动态调度推理实例。</w:t>
      </w:r>
    </w:p>
    <w:p w14:paraId="26102359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DEP-05 无中断发布：生产环境支持滚动更新，发布过程可观测、可快速回滚。</w:t>
      </w:r>
    </w:p>
    <w:p w14:paraId="0D0B600E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DEP-06 日志与监控：全链路日志采集与集中存储，关键指标实时监控并配置告警阈值。</w:t>
      </w:r>
    </w:p>
    <w:p w14:paraId="7A0C60C7">
      <w:pPr>
        <w:pStyle w:val="4"/>
        <w:spacing w:before="360" w:after="180" w:line="340" w:lineRule="auto"/>
      </w:pPr>
      <w:r>
        <w:rPr>
          <w:rFonts w:ascii="黑体" w:hAnsi="黑体" w:eastAsia="黑体" w:cs="黑体"/>
          <w:b/>
          <w:bCs/>
          <w:color w:val="000000"/>
          <w:sz w:val="20"/>
          <w:szCs w:val="20"/>
        </w:rPr>
        <w:t>（五）测试要求</w:t>
      </w:r>
    </w:p>
    <w:p w14:paraId="2D4BE66A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TST-01 功能测试：覆盖全部功能模块的核心业务流程，包括AI员工协作链路、内容生产全流程、CMS发布对接等关键路径，用例覆盖率不低于85%。</w:t>
      </w:r>
    </w:p>
    <w:p w14:paraId="72B0F448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TST-02 性能测试：模拟峰值用户并发场景，验证响应时间、吞吐量与资源占用满足性能指标要求；长时运行（72小时）稳定性测试无内存泄漏与服务降级。</w:t>
      </w:r>
    </w:p>
    <w:p w14:paraId="148822BB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TST-03 安全测试：覆盖身份认证、权限隔离（多租户数据隔离）、输入校验、接口防篡改；敏感数据传输与存储加密合规。</w:t>
      </w:r>
    </w:p>
    <w:p w14:paraId="072CE286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TST-04 兼容性测试：主流浏览器（Chrome、Firefox、Edge、Safari）最近两个大版本兼容；移动端自适应布局可用。</w:t>
      </w:r>
    </w:p>
    <w:p w14:paraId="6D9A00F8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TST-05 回归测试：每次迭代发布前执行自动化回归，确保已有功能不受影响。</w:t>
      </w:r>
    </w:p>
    <w:p w14:paraId="2147CE4F">
      <w:pPr>
        <w:pStyle w:val="4"/>
        <w:spacing w:before="360" w:after="180" w:line="340" w:lineRule="auto"/>
      </w:pPr>
      <w:r>
        <w:rPr>
          <w:rFonts w:ascii="黑体" w:hAnsi="黑体" w:eastAsia="黑体" w:cs="黑体"/>
          <w:b/>
          <w:bCs/>
          <w:color w:val="000000"/>
          <w:sz w:val="20"/>
          <w:szCs w:val="20"/>
        </w:rPr>
        <w:t>（六）安全保障</w:t>
      </w:r>
    </w:p>
    <w:p w14:paraId="7D4C2164">
      <w:pPr>
        <w:spacing w:before="240" w:after="120" w:line="320" w:lineRule="auto"/>
      </w:pPr>
      <w:r>
        <w:rPr>
          <w:rFonts w:ascii="黑体" w:hAnsi="黑体" w:eastAsia="黑体" w:cs="黑体"/>
          <w:b/>
          <w:bCs/>
          <w:color w:val="000000"/>
          <w:sz w:val="18"/>
          <w:szCs w:val="18"/>
        </w:rPr>
        <w:t>1.LLM对话安全</w:t>
      </w:r>
    </w:p>
    <w:p w14:paraId="3E4EF540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SEC-LLM-01：平台应对大模型输出内容进行实时安全过滤，拦截涉政、涉黄、涉暴等违规内容，确保输出符合内容安全规范，违规内容拦截率≥99%，误拦率≤1%。</w:t>
      </w:r>
    </w:p>
    <w:p w14:paraId="0A2DDA08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SEC-LLM-02：平台应具备提示词注入攻击防御能力，识别并阻断恶意构造的输入指令，注入攻击识别率≥98%，防御成功率≥99%。</w:t>
      </w:r>
    </w:p>
    <w:p w14:paraId="68FB830B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SEC-LLM-03：平台应对敏感话题关键词进行分级管控，支持按组织维度配置敏感词策略，敏感词库覆盖≥5000条，策略生效延迟≤5秒。</w:t>
      </w:r>
    </w:p>
    <w:p w14:paraId="5DF59485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SEC-LLM-04：平台应记录所有AI对话的完整交互日志，支持事后追溯与审计，日志保留≥180天，查询响应≤3秒。</w:t>
      </w:r>
    </w:p>
    <w:p w14:paraId="3CB18BBF">
      <w:pPr>
        <w:spacing w:before="240" w:after="120" w:line="320" w:lineRule="auto"/>
      </w:pPr>
      <w:r>
        <w:rPr>
          <w:rFonts w:ascii="黑体" w:hAnsi="黑体" w:eastAsia="黑体" w:cs="黑体"/>
          <w:b/>
          <w:bCs/>
          <w:color w:val="000000"/>
          <w:sz w:val="18"/>
          <w:szCs w:val="18"/>
        </w:rPr>
        <w:t>2.Skills执行安全</w:t>
      </w:r>
    </w:p>
    <w:p w14:paraId="683A45D5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SEC-SKILL-01：每个Skill应具备明确的权限边界声明，运行时仅能访问其声明的资源与接口，权限越界事件拦截率100%。</w:t>
      </w:r>
    </w:p>
    <w:p w14:paraId="314E8ABB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SEC-SKILL-02：平台应对Skill执行过程进行实时监控，异常行为（超时、资源超限、错误率飙升）自动熔断，熔断响应时间≤2秒，误熔断率≤0.5%。</w:t>
      </w:r>
    </w:p>
    <w:p w14:paraId="36954EE5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SEC-SKILL-03：平台应记录每个Skill的完整执行轨迹（调用链、输入输出、耗时），支持审计追踪，审计记录完整率100%，轨迹查询响应≤5秒。</w:t>
      </w:r>
    </w:p>
    <w:p w14:paraId="1178C128">
      <w:pPr>
        <w:spacing w:before="240" w:after="120" w:line="320" w:lineRule="auto"/>
      </w:pPr>
      <w:r>
        <w:rPr>
          <w:rFonts w:ascii="黑体" w:hAnsi="黑体" w:eastAsia="黑体" w:cs="黑体"/>
          <w:b/>
          <w:bCs/>
          <w:color w:val="000000"/>
          <w:sz w:val="18"/>
          <w:szCs w:val="18"/>
        </w:rPr>
        <w:t>3.Skills上传安全</w:t>
      </w:r>
    </w:p>
    <w:p w14:paraId="6A8F4BA4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SEC-UPLOAD-01：用户上传的Skill文件应经过恶意内容检测，包括代码注入、恶意脚本、隐藏指令等，恶意内容检出率≥99%。</w:t>
      </w:r>
    </w:p>
    <w:p w14:paraId="433BAEA7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SEC-UPLOAD-02：平台应对上传文件进行格式校验、大小限制、类型白名单过滤，拒绝不合规文件，不合规文件拦截率100%。</w:t>
      </w:r>
    </w:p>
    <w:p w14:paraId="48C2C890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SEC-UPLOAD-03：上传文件应在独立沙箱环境中完成解析与验证，隔离其对主系统的影响，沙箱逃逸防护率100%。</w:t>
      </w:r>
    </w:p>
    <w:p w14:paraId="2D6F6A8F">
      <w:pPr>
        <w:spacing w:before="240" w:after="120" w:line="320" w:lineRule="auto"/>
      </w:pPr>
      <w:r>
        <w:rPr>
          <w:rFonts w:ascii="黑体" w:hAnsi="黑体" w:eastAsia="黑体" w:cs="黑体"/>
          <w:b/>
          <w:bCs/>
          <w:color w:val="000000"/>
          <w:sz w:val="18"/>
          <w:szCs w:val="18"/>
        </w:rPr>
        <w:t>4.数据安全</w:t>
      </w:r>
    </w:p>
    <w:p w14:paraId="5B90FBC1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SEC-DATA-01：平台应实现严格的多租户数据隔离，确保不同组织间的数据不可互访，隔离有效性验证通过率100%。</w:t>
      </w:r>
    </w:p>
    <w:p w14:paraId="342D11D5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SEC-DATA-02：平台所有数据传输应采用TLS 1.2及以上加密协议，静态存储敏感字段应加密，传输加密覆盖率100%。</w:t>
      </w:r>
    </w:p>
    <w:p w14:paraId="29BA2C7F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SEC-DATA-03：平台应支持自动化数据备份，并具备在≤4小时内完成数据恢复的能力，备份成功率≥99.9%，RTO≤4h，RPO≤1h。</w:t>
      </w:r>
    </w:p>
    <w:p w14:paraId="5E5DCA8D">
      <w:pPr>
        <w:spacing w:before="240" w:after="120" w:line="320" w:lineRule="auto"/>
      </w:pPr>
      <w:r>
        <w:rPr>
          <w:rFonts w:ascii="黑体" w:hAnsi="黑体" w:eastAsia="黑体" w:cs="黑体"/>
          <w:b/>
          <w:bCs/>
          <w:color w:val="000000"/>
          <w:sz w:val="18"/>
          <w:szCs w:val="18"/>
        </w:rPr>
        <w:t>5.访问安全</w:t>
      </w:r>
    </w:p>
    <w:p w14:paraId="0E60B367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SEC-ACCESS-01：平台应提供统一的身份认证机制，支持邮箱密码登录及第三方OAuth接入，认证成功率≥99.9%。</w:t>
      </w:r>
    </w:p>
    <w:p w14:paraId="2F7EE1F5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SEC-ACCESS-02：平台应实现基于角色的访问控制（RBAC），支持组织级、团队级、功能级三层层级权限管理，权限校验响应≤50ms。</w:t>
      </w:r>
    </w:p>
    <w:p w14:paraId="2A945935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SEC-ACCESS-03：平台应记录所有用户操作日志（登录、数据访问、配置变更），支持按时间/用户/操作类型检索，操作审计覆盖率100%，日志保留≥180天。</w:t>
      </w:r>
    </w:p>
    <w:p w14:paraId="15356BEF">
      <w:r>
        <w:br w:type="page"/>
      </w:r>
    </w:p>
    <w:p w14:paraId="14409A4F">
      <w:pPr>
        <w:pStyle w:val="3"/>
        <w:pBdr>
          <w:bottom w:val="single" w:color="1A56DB" w:sz="4" w:space="0"/>
        </w:pBdr>
        <w:spacing w:before="480" w:after="240" w:line="360" w:lineRule="auto"/>
      </w:pPr>
      <w:r>
        <w:rPr>
          <w:rFonts w:ascii="黑体" w:hAnsi="黑体" w:eastAsia="黑体" w:cs="黑体"/>
          <w:b/>
          <w:bCs/>
          <w:color w:val="000000"/>
          <w:sz w:val="24"/>
          <w:szCs w:val="24"/>
        </w:rPr>
        <w:t>三、功能指标</w:t>
      </w:r>
    </w:p>
    <w:p w14:paraId="7C9A3292">
      <w:pPr>
        <w:pStyle w:val="4"/>
        <w:spacing w:before="360" w:after="180" w:line="340" w:lineRule="auto"/>
      </w:pPr>
      <w:r>
        <w:rPr>
          <w:rFonts w:ascii="黑体" w:hAnsi="黑体" w:eastAsia="黑体" w:cs="黑体"/>
          <w:b/>
          <w:bCs/>
          <w:color w:val="000000"/>
          <w:sz w:val="20"/>
          <w:szCs w:val="20"/>
        </w:rPr>
        <w:t>（一）智能体协作指标</w:t>
      </w:r>
    </w:p>
    <w:p w14:paraId="0F8420D4">
      <w:pPr>
        <w:spacing w:before="120" w:after="120" w:line="360" w:lineRule="auto"/>
        <w:ind w:firstLine="420"/>
        <w:jc w:val="left"/>
      </w:pPr>
      <w:r>
        <w:rPr>
          <w:rFonts w:ascii="仿宋_GB2312" w:hAnsi="仿宋_GB2312" w:eastAsia="仿宋_GB2312" w:cs="仿宋_GB2312"/>
          <w:b w:val="0"/>
          <w:bCs w:val="0"/>
          <w:color w:val="000000"/>
          <w:sz w:val="16"/>
          <w:szCs w:val="16"/>
        </w:rPr>
        <w:t>意图识别准确率≥92%，即用户对话意图被正确路由至对应技能的比例；单次对话响应时间≤3s（首字输出），即流式输出场景下首字延迟；多智能体协作成功率≥95%，含主智能体调度+子任务执行的端到端成功率；任务完成准确率≥85%，即生成内容无需人工大幅修改即可直接使用的比例；上下文记忆命中率≥80%，即智能体执行任务时成功调用相关知识库内容的比例；任务推送成功率≥99.8%，即主智能体分发任务到目标员工的成功率；通知送达率100%，即任务完成后实时通知的送达率。</w:t>
      </w:r>
    </w:p>
    <w:p w14:paraId="19771A70">
      <w:pPr>
        <w:pStyle w:val="4"/>
        <w:spacing w:before="360" w:after="180" w:line="340" w:lineRule="auto"/>
      </w:pPr>
      <w:r>
        <w:rPr>
          <w:rFonts w:ascii="黑体" w:hAnsi="黑体" w:eastAsia="黑体" w:cs="黑体"/>
          <w:b/>
          <w:bCs/>
          <w:color w:val="000000"/>
          <w:sz w:val="20"/>
          <w:szCs w:val="20"/>
        </w:rPr>
        <w:t>（二）Skills平台指标</w:t>
      </w:r>
    </w:p>
    <w:p w14:paraId="47D3E79F">
      <w:pPr>
        <w:spacing w:before="120" w:after="120" w:line="360" w:lineRule="auto"/>
        <w:ind w:firstLine="420"/>
        <w:jc w:val="left"/>
      </w:pPr>
      <w:r>
        <w:rPr>
          <w:rFonts w:ascii="仿宋_GB2312" w:hAnsi="仿宋_GB2312" w:eastAsia="仿宋_GB2312" w:cs="仿宋_GB2312"/>
          <w:b w:val="0"/>
          <w:bCs w:val="0"/>
          <w:color w:val="000000"/>
          <w:sz w:val="16"/>
          <w:szCs w:val="16"/>
        </w:rPr>
        <w:t>内置技能覆盖数≥27个，涵盖选题、写作、审核、发布等全链路技能；工作流模板数≥27个，覆盖12大业务场景的预设模板；技能热加载时间≤5s，即新增或更新技能后生效时间；技能创建成功率（手动）≥99%，技能创建成功率（上传）≥95%；技能组合上限为10个技能串联，即单个工作流中技能组合的最大数量；CMS入库发布成功率≥99%，即文章从提交到CMS上线的端到端成功率；栏目同步准确率100%，即CMS栏目映射同步的准确率。</w:t>
      </w:r>
    </w:p>
    <w:p w14:paraId="727A5CE0">
      <w:pPr>
        <w:pStyle w:val="4"/>
        <w:spacing w:before="360" w:after="180" w:line="340" w:lineRule="auto"/>
      </w:pPr>
      <w:r>
        <w:rPr>
          <w:rFonts w:ascii="黑体" w:hAnsi="黑体" w:eastAsia="黑体" w:cs="黑体"/>
          <w:b/>
          <w:bCs/>
          <w:color w:val="000000"/>
          <w:sz w:val="20"/>
          <w:szCs w:val="20"/>
        </w:rPr>
        <w:t>（三）部署运维指标</w:t>
      </w:r>
    </w:p>
    <w:p w14:paraId="06937F53">
      <w:pPr>
        <w:spacing w:before="120" w:after="120" w:line="360" w:lineRule="auto"/>
        <w:ind w:firstLine="420"/>
        <w:jc w:val="left"/>
      </w:pPr>
      <w:r>
        <w:rPr>
          <w:rFonts w:ascii="仿宋_GB2312" w:hAnsi="仿宋_GB2312" w:eastAsia="仿宋_GB2312" w:cs="仿宋_GB2312"/>
          <w:b w:val="0"/>
          <w:bCs w:val="0"/>
          <w:color w:val="000000"/>
          <w:sz w:val="16"/>
          <w:szCs w:val="16"/>
        </w:rPr>
        <w:t>平台可用性≥99.9%（月度），不含计划维护窗口；页面加载时间≤2s，即核心页面首屏渲染时间；故障恢复时间（MTTR）≤30min，即从故障发现到服务恢复；定时任务执行准确率100%，即调度任务准时执行率；数据库迁移成功率100%，即Schema变更推送成功率。</w:t>
      </w:r>
    </w:p>
    <w:p w14:paraId="376E8D22">
      <w:pPr>
        <w:pStyle w:val="4"/>
        <w:spacing w:before="360" w:after="180" w:line="340" w:lineRule="auto"/>
      </w:pPr>
      <w:r>
        <w:rPr>
          <w:rFonts w:ascii="黑体" w:hAnsi="黑体" w:eastAsia="黑体" w:cs="黑体"/>
          <w:b/>
          <w:bCs/>
          <w:color w:val="000000"/>
          <w:sz w:val="20"/>
          <w:szCs w:val="20"/>
        </w:rPr>
        <w:t>（四）安全指标</w:t>
      </w:r>
    </w:p>
    <w:p w14:paraId="52DDA038">
      <w:pPr>
        <w:spacing w:before="120" w:after="120" w:line="360" w:lineRule="auto"/>
        <w:ind w:firstLine="420"/>
        <w:jc w:val="left"/>
      </w:pPr>
      <w:r>
        <w:rPr>
          <w:rFonts w:ascii="仿宋_GB2312" w:hAnsi="仿宋_GB2312" w:eastAsia="仿宋_GB2312" w:cs="仿宋_GB2312"/>
          <w:b w:val="0"/>
          <w:bCs w:val="0"/>
          <w:color w:val="000000"/>
          <w:sz w:val="16"/>
          <w:szCs w:val="16"/>
        </w:rPr>
        <w:t>敏感词拦截率≥99%，即内容发布前自动审核拦截违规内容；多租户数据泄露0次，即组织间数据严格隔离，无越权访问；权限校验覆盖率100%，即所有API和页面操作均经过角色权限校验；操作审计日志留存≥180天，即关键操作（发布、删除、权限变更）可追溯；恶意技能上传检测率≥99.9%，即用户上传技能的恶意内容检出率；LLM不当内容过滤率≥99.9%，即模型输出违规内容的拦截率；提示词攻击防御率≥99%，即Prompt注入攻击的防御成功率。</w:t>
      </w:r>
    </w:p>
    <w:p w14:paraId="217B6EC3">
      <w:r>
        <w:br w:type="page"/>
      </w:r>
    </w:p>
    <w:p w14:paraId="11B4E1FC">
      <w:pPr>
        <w:pStyle w:val="3"/>
        <w:pBdr>
          <w:bottom w:val="single" w:color="1A56DB" w:sz="4" w:space="0"/>
        </w:pBdr>
        <w:spacing w:before="480" w:after="240" w:line="360" w:lineRule="auto"/>
      </w:pPr>
      <w:r>
        <w:rPr>
          <w:rFonts w:ascii="黑体" w:hAnsi="黑体" w:eastAsia="黑体" w:cs="黑体"/>
          <w:b/>
          <w:bCs/>
          <w:color w:val="000000"/>
          <w:sz w:val="24"/>
          <w:szCs w:val="24"/>
        </w:rPr>
        <w:t>四、性能指标</w:t>
      </w:r>
    </w:p>
    <w:p w14:paraId="4211F7BD">
      <w:pPr>
        <w:pStyle w:val="4"/>
        <w:spacing w:before="360" w:after="180" w:line="340" w:lineRule="auto"/>
      </w:pPr>
      <w:r>
        <w:rPr>
          <w:rFonts w:ascii="黑体" w:hAnsi="黑体" w:eastAsia="黑体" w:cs="黑体"/>
          <w:b/>
          <w:bCs/>
          <w:color w:val="000000"/>
          <w:sz w:val="20"/>
          <w:szCs w:val="20"/>
        </w:rPr>
        <w:t>（一）并发性能资源规划</w:t>
      </w:r>
    </w:p>
    <w:p w14:paraId="78C73263">
      <w:pPr>
        <w:spacing w:before="120" w:after="120" w:line="360" w:lineRule="auto"/>
        <w:ind w:firstLine="420"/>
        <w:jc w:val="left"/>
      </w:pPr>
      <w:r>
        <w:rPr>
          <w:rFonts w:ascii="仿宋_GB2312" w:hAnsi="仿宋_GB2312" w:eastAsia="仿宋_GB2312" w:cs="仿宋_GB2312"/>
          <w:b w:val="0"/>
          <w:bCs w:val="0"/>
          <w:color w:val="000000"/>
          <w:sz w:val="16"/>
          <w:szCs w:val="16"/>
        </w:rPr>
        <w:t>注：以下为按业务需求推算的下限值，实际部署建议预留30%冗余应对突发。AI推理资源为最易成为瓶颈的环节，峰值阶段建议提前锁定弹性配额。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25"/>
        <w:gridCol w:w="1125"/>
        <w:gridCol w:w="1125"/>
        <w:gridCol w:w="1125"/>
        <w:gridCol w:w="1125"/>
      </w:tblGrid>
      <w:tr w14:paraId="2E8D1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solid" w:color="1E3A5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72B426">
            <w:pPr>
              <w:jc w:val="center"/>
            </w:pPr>
            <w:r>
              <w:rPr>
                <w:rFonts w:ascii="仿宋_GB2312" w:hAnsi="仿宋_GB2312" w:eastAsia="仿宋_GB2312" w:cs="仿宋_GB2312"/>
                <w:b/>
                <w:bCs/>
                <w:color w:val="FFFFFF"/>
                <w:sz w:val="15"/>
                <w:szCs w:val="15"/>
              </w:rPr>
              <w:t>指标维度</w:t>
            </w:r>
          </w:p>
        </w:tc>
        <w:tc>
          <w:tcPr>
            <w:shd w:val="solid" w:color="1E3A5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38EAAC">
            <w:pPr>
              <w:jc w:val="center"/>
            </w:pPr>
            <w:r>
              <w:rPr>
                <w:rFonts w:ascii="仿宋_GB2312" w:hAnsi="仿宋_GB2312" w:eastAsia="仿宋_GB2312" w:cs="仿宋_GB2312"/>
                <w:b/>
                <w:bCs/>
                <w:color w:val="FFFFFF"/>
                <w:sz w:val="15"/>
                <w:szCs w:val="15"/>
              </w:rPr>
              <w:t>初期（100人）</w:t>
            </w:r>
          </w:p>
        </w:tc>
        <w:tc>
          <w:tcPr>
            <w:shd w:val="solid" w:color="1E3A5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99A146">
            <w:pPr>
              <w:jc w:val="center"/>
            </w:pPr>
            <w:r>
              <w:rPr>
                <w:rFonts w:ascii="仿宋_GB2312" w:hAnsi="仿宋_GB2312" w:eastAsia="仿宋_GB2312" w:cs="仿宋_GB2312"/>
                <w:b/>
                <w:bCs/>
                <w:color w:val="FFFFFF"/>
                <w:sz w:val="15"/>
                <w:szCs w:val="15"/>
              </w:rPr>
              <w:t>中期（200人）</w:t>
            </w:r>
          </w:p>
        </w:tc>
        <w:tc>
          <w:tcPr>
            <w:shd w:val="solid" w:color="1E3A5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6DA9E6">
            <w:pPr>
              <w:jc w:val="center"/>
            </w:pPr>
            <w:r>
              <w:rPr>
                <w:rFonts w:ascii="仿宋_GB2312" w:hAnsi="仿宋_GB2312" w:eastAsia="仿宋_GB2312" w:cs="仿宋_GB2312"/>
                <w:b/>
                <w:bCs/>
                <w:color w:val="FFFFFF"/>
                <w:sz w:val="15"/>
                <w:szCs w:val="15"/>
              </w:rPr>
              <w:t>成熟期（300人）</w:t>
            </w:r>
          </w:p>
        </w:tc>
        <w:tc>
          <w:tcPr>
            <w:shd w:val="solid" w:color="1E3A5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5A2332">
            <w:pPr>
              <w:jc w:val="center"/>
            </w:pPr>
            <w:r>
              <w:rPr>
                <w:rFonts w:ascii="仿宋_GB2312" w:hAnsi="仿宋_GB2312" w:eastAsia="仿宋_GB2312" w:cs="仿宋_GB2312"/>
                <w:b/>
                <w:bCs/>
                <w:color w:val="FFFFFF"/>
                <w:sz w:val="15"/>
                <w:szCs w:val="15"/>
              </w:rPr>
              <w:t>峰值（500人）</w:t>
            </w:r>
          </w:p>
        </w:tc>
      </w:tr>
      <w:tr w14:paraId="306D3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DF8BB">
            <w:pPr>
              <w:spacing w:line="320" w:lineRule="auto"/>
              <w:jc w:val="left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计算资源（CPU/内存）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A8A12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4核8GB×2实例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A0D1E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4核16GB×3实例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3C0C8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8核16GB×3实例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3691B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8核32GB×4实例</w:t>
            </w:r>
          </w:p>
        </w:tc>
      </w:tr>
      <w:tr w14:paraId="394E9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38E43">
            <w:pPr>
              <w:spacing w:line="320" w:lineRule="auto"/>
              <w:jc w:val="left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AI推理资源（显存）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45249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16GB显存×1卡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36879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16GB显存×2卡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5B987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24GB显存×2卡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FAE3C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24GB显存×3卡</w:t>
            </w:r>
          </w:p>
        </w:tc>
      </w:tr>
      <w:tr w14:paraId="4AF35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AF2AB">
            <w:pPr>
              <w:spacing w:line="320" w:lineRule="auto"/>
              <w:jc w:val="left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存储资源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FC30E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100GB SSD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65C44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200GB SSD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E8512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500GB SSD+对象存储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C83CD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1TB SSD+对象存储</w:t>
            </w:r>
          </w:p>
        </w:tc>
      </w:tr>
      <w:tr w14:paraId="087DD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C8947">
            <w:pPr>
              <w:spacing w:line="320" w:lineRule="auto"/>
              <w:jc w:val="left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网络带宽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F5261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20Mbps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31809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50Mbps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67309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100Mbps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B3542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200Mbps</w:t>
            </w:r>
          </w:p>
        </w:tc>
      </w:tr>
      <w:tr w14:paraId="102E7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4F85E">
            <w:pPr>
              <w:spacing w:line="320" w:lineRule="auto"/>
              <w:jc w:val="left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页面QPS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50A04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≥50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34327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≥120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25159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≥200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00E78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≥350</w:t>
            </w:r>
          </w:p>
        </w:tc>
      </w:tr>
      <w:tr w14:paraId="24B5E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1369A">
            <w:pPr>
              <w:spacing w:line="320" w:lineRule="auto"/>
              <w:jc w:val="left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API QPS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9301D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≥100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E52D7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≥250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269DB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≥400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41C4B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≥600</w:t>
            </w:r>
          </w:p>
        </w:tc>
      </w:tr>
      <w:tr w14:paraId="1A750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FA8C9">
            <w:pPr>
              <w:spacing w:line="320" w:lineRule="auto"/>
              <w:jc w:val="left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平均响应时间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FDF02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≤800ms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EA961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≤800ms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44912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≤1s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35485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≤1.2s</w:t>
            </w:r>
          </w:p>
        </w:tc>
      </w:tr>
    </w:tbl>
    <w:p w14:paraId="3199CC50">
      <w:pPr>
        <w:pStyle w:val="4"/>
        <w:spacing w:before="360" w:after="180" w:line="340" w:lineRule="auto"/>
      </w:pPr>
      <w:r>
        <w:rPr>
          <w:rFonts w:ascii="黑体" w:hAnsi="黑体" w:eastAsia="黑体" w:cs="黑体"/>
          <w:b/>
          <w:bCs/>
          <w:color w:val="000000"/>
          <w:sz w:val="20"/>
          <w:szCs w:val="20"/>
        </w:rPr>
        <w:t>（二）系统稳定性指标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13"/>
        <w:gridCol w:w="2813"/>
      </w:tblGrid>
      <w:tr w14:paraId="2EE22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shd w:val="solid" w:color="1E3A5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49BF44">
            <w:pPr>
              <w:jc w:val="center"/>
            </w:pPr>
            <w:r>
              <w:rPr>
                <w:rFonts w:ascii="仿宋_GB2312" w:hAnsi="仿宋_GB2312" w:eastAsia="仿宋_GB2312" w:cs="仿宋_GB2312"/>
                <w:b/>
                <w:bCs/>
                <w:color w:val="FFFFFF"/>
                <w:sz w:val="15"/>
                <w:szCs w:val="15"/>
              </w:rPr>
              <w:t>指标项</w:t>
            </w:r>
          </w:p>
        </w:tc>
        <w:tc>
          <w:tcPr>
            <w:shd w:val="solid" w:color="1E3A5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A4826D">
            <w:pPr>
              <w:jc w:val="center"/>
            </w:pPr>
            <w:r>
              <w:rPr>
                <w:rFonts w:ascii="仿宋_GB2312" w:hAnsi="仿宋_GB2312" w:eastAsia="仿宋_GB2312" w:cs="仿宋_GB2312"/>
                <w:b/>
                <w:bCs/>
                <w:color w:val="FFFFFF"/>
                <w:sz w:val="15"/>
                <w:szCs w:val="15"/>
              </w:rPr>
              <w:t>目标值</w:t>
            </w:r>
          </w:p>
        </w:tc>
      </w:tr>
      <w:tr w14:paraId="0CE9D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C0D17">
            <w:pPr>
              <w:spacing w:line="320" w:lineRule="auto"/>
              <w:jc w:val="left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系统可用性（月度）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8E5AE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≥99.9%</w:t>
            </w:r>
          </w:p>
        </w:tc>
      </w:tr>
      <w:tr w14:paraId="0FBE2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A841C">
            <w:pPr>
              <w:spacing w:line="320" w:lineRule="auto"/>
              <w:jc w:val="left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单点故障恢复时间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10AE0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≤30秒（自动切换）</w:t>
            </w:r>
          </w:p>
        </w:tc>
      </w:tr>
      <w:tr w14:paraId="2E377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E7D3C">
            <w:pPr>
              <w:spacing w:line="320" w:lineRule="auto"/>
              <w:jc w:val="left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数据备份频率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615B6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每日全量+实时增量</w:t>
            </w:r>
          </w:p>
        </w:tc>
      </w:tr>
      <w:tr w14:paraId="42A86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6CD09">
            <w:pPr>
              <w:spacing w:line="320" w:lineRule="auto"/>
              <w:jc w:val="left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数据恢复RTO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8D284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≤1小时</w:t>
            </w:r>
          </w:p>
        </w:tc>
      </w:tr>
      <w:tr w14:paraId="6E849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E6306">
            <w:pPr>
              <w:spacing w:line="320" w:lineRule="auto"/>
              <w:jc w:val="left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数据恢复RPO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CEA3A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≤5分钟</w:t>
            </w:r>
          </w:p>
        </w:tc>
      </w:tr>
      <w:tr w14:paraId="72314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7F4C0">
            <w:pPr>
              <w:spacing w:line="320" w:lineRule="auto"/>
              <w:jc w:val="left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发布回滚时间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0D3CC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≤10分钟</w:t>
            </w:r>
          </w:p>
        </w:tc>
      </w:tr>
      <w:tr w14:paraId="3EF99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55BF3">
            <w:pPr>
              <w:spacing w:line="320" w:lineRule="auto"/>
              <w:jc w:val="left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告警响应时间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BAAB1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≤5分钟</w:t>
            </w:r>
          </w:p>
        </w:tc>
      </w:tr>
    </w:tbl>
    <w:p w14:paraId="3EB8C46A">
      <w:pPr>
        <w:pStyle w:val="4"/>
        <w:spacing w:before="360" w:after="180" w:line="340" w:lineRule="auto"/>
      </w:pPr>
      <w:r>
        <w:rPr>
          <w:rFonts w:ascii="黑体" w:hAnsi="黑体" w:eastAsia="黑体" w:cs="黑体"/>
          <w:b/>
          <w:bCs/>
          <w:color w:val="000000"/>
          <w:sz w:val="20"/>
          <w:szCs w:val="20"/>
        </w:rPr>
        <w:t>（三）数据处理性能指标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13"/>
        <w:gridCol w:w="2813"/>
      </w:tblGrid>
      <w:tr w14:paraId="31DD6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solid" w:color="1E3A5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5AD14F">
            <w:pPr>
              <w:jc w:val="center"/>
            </w:pPr>
            <w:r>
              <w:rPr>
                <w:rFonts w:ascii="仿宋_GB2312" w:hAnsi="仿宋_GB2312" w:eastAsia="仿宋_GB2312" w:cs="仿宋_GB2312"/>
                <w:b/>
                <w:bCs/>
                <w:color w:val="FFFFFF"/>
                <w:sz w:val="15"/>
                <w:szCs w:val="15"/>
              </w:rPr>
              <w:t>指标项</w:t>
            </w:r>
          </w:p>
        </w:tc>
        <w:tc>
          <w:tcPr>
            <w:shd w:val="solid" w:color="1E3A5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93097D">
            <w:pPr>
              <w:jc w:val="center"/>
            </w:pPr>
            <w:r>
              <w:rPr>
                <w:rFonts w:ascii="仿宋_GB2312" w:hAnsi="仿宋_GB2312" w:eastAsia="仿宋_GB2312" w:cs="仿宋_GB2312"/>
                <w:b/>
                <w:bCs/>
                <w:color w:val="FFFFFF"/>
                <w:sz w:val="15"/>
                <w:szCs w:val="15"/>
              </w:rPr>
              <w:t>目标值</w:t>
            </w:r>
          </w:p>
        </w:tc>
      </w:tr>
      <w:tr w14:paraId="575A9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5321E">
            <w:pPr>
              <w:spacing w:line="320" w:lineRule="auto"/>
              <w:jc w:val="left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向量检索响应（1024维）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33946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≤200ms（Top-10召回）</w:t>
            </w:r>
          </w:p>
        </w:tc>
      </w:tr>
      <w:tr w14:paraId="265BC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8D343">
            <w:pPr>
              <w:spacing w:line="320" w:lineRule="auto"/>
              <w:jc w:val="left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AI内容生成首字延迟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6487A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≤2s</w:t>
            </w:r>
          </w:p>
        </w:tc>
      </w:tr>
      <w:tr w14:paraId="4DBB0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14E44">
            <w:pPr>
              <w:spacing w:line="320" w:lineRule="auto"/>
              <w:jc w:val="left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批量任务处理吞吐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E24A5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≥50任务/分钟</w:t>
            </w:r>
          </w:p>
        </w:tc>
      </w:tr>
      <w:tr w14:paraId="6A2A8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B664D">
            <w:pPr>
              <w:spacing w:line="320" w:lineRule="auto"/>
              <w:jc w:val="left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热榜数据抓取延迟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06525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≤5分钟（从发布到入库）</w:t>
            </w:r>
          </w:p>
        </w:tc>
      </w:tr>
      <w:tr w14:paraId="14FEA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91133">
            <w:pPr>
              <w:spacing w:line="320" w:lineRule="auto"/>
              <w:jc w:val="left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CMS文章发布延迟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4AD86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≤3分钟（从提交到上线）</w:t>
            </w:r>
          </w:p>
        </w:tc>
      </w:tr>
      <w:tr w14:paraId="49A2F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C0063">
            <w:pPr>
              <w:spacing w:line="320" w:lineRule="auto"/>
              <w:jc w:val="left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知识库文档向量化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5548C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≤30秒/篇（万字符级）</w:t>
            </w:r>
          </w:p>
        </w:tc>
      </w:tr>
    </w:tbl>
    <w:p w14:paraId="57B5D3F4">
      <w:pPr>
        <w:pStyle w:val="4"/>
        <w:spacing w:before="360" w:after="180" w:line="340" w:lineRule="auto"/>
      </w:pPr>
      <w:r>
        <w:rPr>
          <w:rFonts w:ascii="黑体" w:hAnsi="黑体" w:eastAsia="黑体" w:cs="黑体"/>
          <w:b/>
          <w:bCs/>
          <w:color w:val="000000"/>
          <w:sz w:val="20"/>
          <w:szCs w:val="20"/>
        </w:rPr>
        <w:t>（四）低峰时间性能指标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13"/>
        <w:gridCol w:w="2813"/>
      </w:tblGrid>
      <w:tr w14:paraId="4744B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shd w:val="solid" w:color="1E3A5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BD9B59">
            <w:pPr>
              <w:jc w:val="center"/>
            </w:pPr>
            <w:r>
              <w:rPr>
                <w:rFonts w:ascii="仿宋_GB2312" w:hAnsi="仿宋_GB2312" w:eastAsia="仿宋_GB2312" w:cs="仿宋_GB2312"/>
                <w:b/>
                <w:bCs/>
                <w:color w:val="FFFFFF"/>
                <w:sz w:val="15"/>
                <w:szCs w:val="15"/>
              </w:rPr>
              <w:t>指标项</w:t>
            </w:r>
          </w:p>
        </w:tc>
        <w:tc>
          <w:tcPr>
            <w:shd w:val="solid" w:color="1E3A5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1C9CA4">
            <w:pPr>
              <w:jc w:val="center"/>
            </w:pPr>
            <w:r>
              <w:rPr>
                <w:rFonts w:ascii="仿宋_GB2312" w:hAnsi="仿宋_GB2312" w:eastAsia="仿宋_GB2312" w:cs="仿宋_GB2312"/>
                <w:b/>
                <w:bCs/>
                <w:color w:val="FFFFFF"/>
                <w:sz w:val="15"/>
                <w:szCs w:val="15"/>
              </w:rPr>
              <w:t>目标值</w:t>
            </w:r>
          </w:p>
        </w:tc>
      </w:tr>
      <w:tr w14:paraId="23C62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A01A1">
            <w:pPr>
              <w:spacing w:line="320" w:lineRule="auto"/>
              <w:jc w:val="left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后半夜定时任务执行效率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8D170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资源利用率≥80%</w:t>
            </w:r>
          </w:p>
        </w:tc>
      </w:tr>
      <w:tr w14:paraId="689D1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7C2E6">
            <w:pPr>
              <w:spacing w:line="320" w:lineRule="auto"/>
              <w:jc w:val="left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系统维护窗口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0BC7A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每月≤4小时，且需安排在非工作时间</w:t>
            </w:r>
          </w:p>
        </w:tc>
      </w:tr>
    </w:tbl>
    <w:p w14:paraId="5380B884">
      <w:r>
        <w:br w:type="page"/>
      </w:r>
    </w:p>
    <w:p w14:paraId="2692B0DA">
      <w:pPr>
        <w:pStyle w:val="3"/>
        <w:pBdr>
          <w:bottom w:val="single" w:color="1A56DB" w:sz="4" w:space="0"/>
        </w:pBdr>
        <w:spacing w:before="480" w:after="240" w:line="360" w:lineRule="auto"/>
      </w:pPr>
      <w:r>
        <w:rPr>
          <w:rFonts w:ascii="黑体" w:hAnsi="黑体" w:eastAsia="黑体" w:cs="黑体"/>
          <w:b/>
          <w:bCs/>
          <w:color w:val="000000"/>
          <w:sz w:val="24"/>
          <w:szCs w:val="24"/>
        </w:rPr>
        <w:t>五、资源测算</w:t>
      </w:r>
    </w:p>
    <w:p w14:paraId="01C3F0A2">
      <w:pPr>
        <w:pStyle w:val="4"/>
        <w:spacing w:before="360" w:after="180" w:line="340" w:lineRule="auto"/>
      </w:pPr>
      <w:r>
        <w:rPr>
          <w:rFonts w:ascii="黑体" w:hAnsi="黑体" w:eastAsia="黑体" w:cs="黑体"/>
          <w:b/>
          <w:bCs/>
          <w:color w:val="000000"/>
          <w:sz w:val="20"/>
          <w:szCs w:val="20"/>
        </w:rPr>
        <w:t>（一）模型选型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25"/>
        <w:gridCol w:w="1125"/>
        <w:gridCol w:w="1125"/>
        <w:gridCol w:w="1125"/>
        <w:gridCol w:w="1125"/>
      </w:tblGrid>
      <w:tr w14:paraId="7D413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shd w:val="solid" w:color="1E3A5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2F03FF">
            <w:pPr>
              <w:jc w:val="center"/>
            </w:pPr>
            <w:r>
              <w:rPr>
                <w:rFonts w:ascii="仿宋_GB2312" w:hAnsi="仿宋_GB2312" w:eastAsia="仿宋_GB2312" w:cs="仿宋_GB2312"/>
                <w:b/>
                <w:bCs/>
                <w:color w:val="FFFFFF"/>
                <w:sz w:val="15"/>
                <w:szCs w:val="15"/>
              </w:rPr>
              <w:t>模型</w:t>
            </w:r>
          </w:p>
        </w:tc>
        <w:tc>
          <w:tcPr>
            <w:shd w:val="solid" w:color="1E3A5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C81B4B">
            <w:pPr>
              <w:jc w:val="center"/>
            </w:pPr>
            <w:r>
              <w:rPr>
                <w:rFonts w:ascii="仿宋_GB2312" w:hAnsi="仿宋_GB2312" w:eastAsia="仿宋_GB2312" w:cs="仿宋_GB2312"/>
                <w:b/>
                <w:bCs/>
                <w:color w:val="FFFFFF"/>
                <w:sz w:val="15"/>
                <w:szCs w:val="15"/>
              </w:rPr>
              <w:t>参数规模</w:t>
            </w:r>
          </w:p>
        </w:tc>
        <w:tc>
          <w:tcPr>
            <w:shd w:val="solid" w:color="1E3A5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5D1A78">
            <w:pPr>
              <w:jc w:val="center"/>
            </w:pPr>
            <w:r>
              <w:rPr>
                <w:rFonts w:ascii="仿宋_GB2312" w:hAnsi="仿宋_GB2312" w:eastAsia="仿宋_GB2312" w:cs="仿宋_GB2312"/>
                <w:b/>
                <w:bCs/>
                <w:color w:val="FFFFFF"/>
                <w:sz w:val="15"/>
                <w:szCs w:val="15"/>
              </w:rPr>
              <w:t>显存需求（INT4）</w:t>
            </w:r>
          </w:p>
        </w:tc>
        <w:tc>
          <w:tcPr>
            <w:shd w:val="solid" w:color="1E3A5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4E77DF">
            <w:pPr>
              <w:jc w:val="center"/>
            </w:pPr>
            <w:r>
              <w:rPr>
                <w:rFonts w:ascii="仿宋_GB2312" w:hAnsi="仿宋_GB2312" w:eastAsia="仿宋_GB2312" w:cs="仿宋_GB2312"/>
                <w:b/>
                <w:bCs/>
                <w:color w:val="FFFFFF"/>
                <w:sz w:val="15"/>
                <w:szCs w:val="15"/>
              </w:rPr>
              <w:t>推理速度</w:t>
            </w:r>
          </w:p>
        </w:tc>
        <w:tc>
          <w:tcPr>
            <w:shd w:val="solid" w:color="1E3A5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16E1D4">
            <w:pPr>
              <w:jc w:val="center"/>
            </w:pPr>
            <w:r>
              <w:rPr>
                <w:rFonts w:ascii="仿宋_GB2312" w:hAnsi="仿宋_GB2312" w:eastAsia="仿宋_GB2312" w:cs="仿宋_GB2312"/>
                <w:b/>
                <w:bCs/>
                <w:color w:val="FFFFFF"/>
                <w:sz w:val="15"/>
                <w:szCs w:val="15"/>
              </w:rPr>
              <w:t>流式延迟</w:t>
            </w:r>
          </w:p>
        </w:tc>
      </w:tr>
      <w:tr w14:paraId="0F389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2FF27">
            <w:pPr>
              <w:spacing w:line="320" w:lineRule="auto"/>
              <w:jc w:val="left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Qwen3-72B-Instruct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F309E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72B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85355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~36GB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33D8E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~20 tokens/s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A19DB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&lt;50ms</w:t>
            </w:r>
          </w:p>
        </w:tc>
      </w:tr>
      <w:tr w14:paraId="7EB51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680DF">
            <w:pPr>
              <w:spacing w:line="320" w:lineRule="auto"/>
              <w:jc w:val="left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DeepSeek-R1-67B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B8685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67B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E9951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~27GB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D79C8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~25 tokens/s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F3265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&lt;60ms</w:t>
            </w:r>
          </w:p>
        </w:tc>
      </w:tr>
    </w:tbl>
    <w:p w14:paraId="1E4549C5">
      <w:pPr>
        <w:spacing w:before="120" w:after="120" w:line="360" w:lineRule="auto"/>
        <w:ind w:firstLine="420"/>
        <w:jc w:val="left"/>
      </w:pPr>
      <w:r>
        <w:rPr>
          <w:rFonts w:ascii="仿宋_GB2312" w:hAnsi="仿宋_GB2312" w:eastAsia="仿宋_GB2312" w:cs="仿宋_GB2312"/>
          <w:b w:val="0"/>
          <w:bCs w:val="0"/>
          <w:color w:val="000000"/>
          <w:sz w:val="16"/>
          <w:szCs w:val="16"/>
        </w:rPr>
        <w:t>选型理由：Qwen3-72B-Instruct在推理质量和响应速度之间取得良好平衡，INT4量化后36GB显存需求可在A6000 48GB单卡运行，原生支持流式输出，满足实时交互需求，且为国产模型完全自主可控。</w:t>
      </w:r>
    </w:p>
    <w:p w14:paraId="6C437135">
      <w:pPr>
        <w:pStyle w:val="4"/>
        <w:spacing w:before="360" w:after="180" w:line="340" w:lineRule="auto"/>
      </w:pPr>
      <w:r>
        <w:rPr>
          <w:rFonts w:ascii="黑体" w:hAnsi="黑体" w:eastAsia="黑体" w:cs="黑体"/>
          <w:b/>
          <w:bCs/>
          <w:color w:val="000000"/>
          <w:sz w:val="20"/>
          <w:szCs w:val="20"/>
        </w:rPr>
        <w:t>（二）资源测算逻辑</w:t>
      </w:r>
    </w:p>
    <w:p w14:paraId="33A69E78">
      <w:pPr>
        <w:spacing w:before="120" w:after="120" w:line="360" w:lineRule="auto"/>
        <w:ind w:firstLine="420"/>
        <w:jc w:val="left"/>
      </w:pPr>
      <w:r>
        <w:rPr>
          <w:rFonts w:ascii="仿宋_GB2312" w:hAnsi="仿宋_GB2312" w:eastAsia="仿宋_GB2312" w:cs="仿宋_GB2312"/>
          <w:b w:val="0"/>
          <w:bCs w:val="0"/>
          <w:color w:val="000000"/>
          <w:sz w:val="16"/>
          <w:szCs w:val="16"/>
        </w:rPr>
        <w:t>基础公式：单卡并发数 = 可用显存 / (模型显存 + KV缓存)。以A6000 48GB单卡为例，预留10%系统开销后可用43.2GB，Qwen3-72B INT4模型占36GB，KV缓存峰值8GB，合计44GB，因此单卡仅能支持1并发请求。</w:t>
      </w:r>
    </w:p>
    <w:p w14:paraId="6A125DF9">
      <w:pPr>
        <w:pStyle w:val="4"/>
        <w:spacing w:before="360" w:after="180" w:line="340" w:lineRule="auto"/>
      </w:pPr>
      <w:r>
        <w:rPr>
          <w:rFonts w:ascii="黑体" w:hAnsi="黑体" w:eastAsia="黑体" w:cs="黑体"/>
          <w:b/>
          <w:bCs/>
          <w:color w:val="000000"/>
          <w:sz w:val="20"/>
          <w:szCs w:val="20"/>
        </w:rPr>
        <w:t>（三）综合GPU需求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8"/>
        <w:gridCol w:w="938"/>
        <w:gridCol w:w="938"/>
        <w:gridCol w:w="938"/>
        <w:gridCol w:w="938"/>
        <w:gridCol w:w="938"/>
      </w:tblGrid>
      <w:tr w14:paraId="0E8C3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solid" w:color="1E3A5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05EC75">
            <w:pPr>
              <w:jc w:val="center"/>
            </w:pPr>
            <w:r>
              <w:rPr>
                <w:rFonts w:ascii="仿宋_GB2312" w:hAnsi="仿宋_GB2312" w:eastAsia="仿宋_GB2312" w:cs="仿宋_GB2312"/>
                <w:b/>
                <w:bCs/>
                <w:color w:val="FFFFFF"/>
                <w:sz w:val="15"/>
                <w:szCs w:val="15"/>
              </w:rPr>
              <w:t>阶段</w:t>
            </w:r>
          </w:p>
        </w:tc>
        <w:tc>
          <w:tcPr>
            <w:shd w:val="solid" w:color="1E3A5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8A06AB">
            <w:pPr>
              <w:jc w:val="center"/>
            </w:pPr>
            <w:r>
              <w:rPr>
                <w:rFonts w:ascii="仿宋_GB2312" w:hAnsi="仿宋_GB2312" w:eastAsia="仿宋_GB2312" w:cs="仿宋_GB2312"/>
                <w:b/>
                <w:bCs/>
                <w:color w:val="FFFFFF"/>
                <w:sz w:val="15"/>
                <w:szCs w:val="15"/>
              </w:rPr>
              <w:t>日活</w:t>
            </w:r>
          </w:p>
        </w:tc>
        <w:tc>
          <w:tcPr>
            <w:shd w:val="solid" w:color="1E3A5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75FB26">
            <w:pPr>
              <w:jc w:val="center"/>
            </w:pPr>
            <w:r>
              <w:rPr>
                <w:rFonts w:ascii="仿宋_GB2312" w:hAnsi="仿宋_GB2312" w:eastAsia="仿宋_GB2312" w:cs="仿宋_GB2312"/>
                <w:b/>
                <w:bCs/>
                <w:color w:val="FFFFFF"/>
                <w:sz w:val="15"/>
                <w:szCs w:val="15"/>
              </w:rPr>
              <w:t>基础问答</w:t>
            </w:r>
          </w:p>
        </w:tc>
        <w:tc>
          <w:tcPr>
            <w:shd w:val="solid" w:color="1E3A5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0FE1C4">
            <w:pPr>
              <w:jc w:val="center"/>
            </w:pPr>
            <w:r>
              <w:rPr>
                <w:rFonts w:ascii="仿宋_GB2312" w:hAnsi="仿宋_GB2312" w:eastAsia="仿宋_GB2312" w:cs="仿宋_GB2312"/>
                <w:b/>
                <w:bCs/>
                <w:color w:val="FFFFFF"/>
                <w:sz w:val="15"/>
                <w:szCs w:val="15"/>
              </w:rPr>
              <w:t>定时任务峰值</w:t>
            </w:r>
          </w:p>
        </w:tc>
        <w:tc>
          <w:tcPr>
            <w:shd w:val="solid" w:color="1E3A5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4A05A3">
            <w:pPr>
              <w:jc w:val="center"/>
            </w:pPr>
            <w:r>
              <w:rPr>
                <w:rFonts w:ascii="仿宋_GB2312" w:hAnsi="仿宋_GB2312" w:eastAsia="仿宋_GB2312" w:cs="仿宋_GB2312"/>
                <w:b/>
                <w:bCs/>
                <w:color w:val="FFFFFF"/>
                <w:sz w:val="15"/>
                <w:szCs w:val="15"/>
              </w:rPr>
              <w:t>30%预留</w:t>
            </w:r>
          </w:p>
        </w:tc>
        <w:tc>
          <w:tcPr>
            <w:shd w:val="solid" w:color="1E3A5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45C334">
            <w:pPr>
              <w:jc w:val="center"/>
            </w:pPr>
            <w:r>
              <w:rPr>
                <w:rFonts w:ascii="仿宋_GB2312" w:hAnsi="仿宋_GB2312" w:eastAsia="仿宋_GB2312" w:cs="仿宋_GB2312"/>
                <w:b/>
                <w:bCs/>
                <w:color w:val="FFFFFF"/>
                <w:sz w:val="15"/>
                <w:szCs w:val="15"/>
              </w:rPr>
              <w:t>总计GPU</w:t>
            </w:r>
          </w:p>
        </w:tc>
      </w:tr>
      <w:tr w14:paraId="38104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A4AC4">
            <w:pPr>
              <w:spacing w:line="320" w:lineRule="auto"/>
              <w:jc w:val="left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初期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B5C4B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100人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EF58A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1卡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99823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5卡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A2D89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2卡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F23F8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8卡</w:t>
            </w:r>
          </w:p>
        </w:tc>
      </w:tr>
      <w:tr w14:paraId="6DC30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AD73C">
            <w:pPr>
              <w:spacing w:line="320" w:lineRule="auto"/>
              <w:jc w:val="left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中期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4038B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200人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753E2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2卡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BA866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10卡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96168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3卡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978DC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15卡</w:t>
            </w:r>
          </w:p>
        </w:tc>
      </w:tr>
      <w:tr w14:paraId="12391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BE2FD">
            <w:pPr>
              <w:spacing w:line="320" w:lineRule="auto"/>
              <w:jc w:val="left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成熟期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F75E4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500人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F3F6B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3卡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17604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25卡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EE3E2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9卡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46CB4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37卡</w:t>
            </w:r>
          </w:p>
        </w:tc>
      </w:tr>
      <w:tr w14:paraId="59222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E04B3">
            <w:pPr>
              <w:spacing w:line="320" w:lineRule="auto"/>
              <w:jc w:val="left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峰值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F960D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800人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642BA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5卡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10DF9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40卡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6F0C4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14卡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2DEED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59卡</w:t>
            </w:r>
          </w:p>
        </w:tc>
      </w:tr>
    </w:tbl>
    <w:p w14:paraId="13213191">
      <w:pPr>
        <w:spacing w:before="120" w:after="120" w:line="360" w:lineRule="auto"/>
        <w:ind w:firstLine="420"/>
        <w:jc w:val="left"/>
      </w:pPr>
      <w:r>
        <w:rPr>
          <w:rFonts w:ascii="仿宋_GB2312" w:hAnsi="仿宋_GB2312" w:eastAsia="仿宋_GB2312" w:cs="仿宋_GB2312"/>
          <w:b w:val="0"/>
          <w:bCs w:val="0"/>
          <w:color w:val="000000"/>
          <w:sz w:val="16"/>
          <w:szCs w:val="16"/>
        </w:rPr>
        <w:t>说明：当前2张A6000可满足</w:t>
      </w:r>
      <w:r>
        <w:rPr>
          <w:rFonts w:hint="eastAsia" w:cs="仿宋_GB2312"/>
          <w:b w:val="0"/>
          <w:bCs w:val="0"/>
          <w:color w:val="000000"/>
          <w:sz w:val="16"/>
          <w:szCs w:val="16"/>
          <w:lang w:val="en-US" w:eastAsia="zh-CN"/>
        </w:rPr>
        <w:t>基本</w:t>
      </w:r>
      <w:r>
        <w:rPr>
          <w:rFonts w:ascii="仿宋_GB2312" w:hAnsi="仿宋_GB2312" w:eastAsia="仿宋_GB2312" w:cs="仿宋_GB2312"/>
          <w:b w:val="0"/>
          <w:bCs w:val="0"/>
          <w:color w:val="000000"/>
          <w:sz w:val="16"/>
          <w:szCs w:val="16"/>
        </w:rPr>
        <w:t>需求，</w:t>
      </w:r>
      <w:r>
        <w:rPr>
          <w:rFonts w:hint="eastAsia" w:cs="仿宋_GB2312"/>
          <w:b w:val="0"/>
          <w:bCs w:val="0"/>
          <w:color w:val="000000"/>
          <w:sz w:val="16"/>
          <w:szCs w:val="16"/>
          <w:lang w:val="en-US" w:eastAsia="zh-CN"/>
        </w:rPr>
        <w:t>初</w:t>
      </w:r>
      <w:r>
        <w:rPr>
          <w:rFonts w:ascii="仿宋_GB2312" w:hAnsi="仿宋_GB2312" w:eastAsia="仿宋_GB2312" w:cs="仿宋_GB2312"/>
          <w:b w:val="0"/>
          <w:bCs w:val="0"/>
          <w:color w:val="000000"/>
          <w:sz w:val="16"/>
          <w:szCs w:val="16"/>
        </w:rPr>
        <w:t>期</w:t>
      </w:r>
      <w:r>
        <w:rPr>
          <w:rFonts w:hint="eastAsia" w:cs="仿宋_GB2312"/>
          <w:b w:val="0"/>
          <w:bCs w:val="0"/>
          <w:color w:val="000000"/>
          <w:sz w:val="16"/>
          <w:szCs w:val="16"/>
          <w:lang w:val="en-US" w:eastAsia="zh-CN"/>
        </w:rPr>
        <w:t>正式使用</w:t>
      </w:r>
      <w:r>
        <w:rPr>
          <w:rFonts w:ascii="仿宋_GB2312" w:hAnsi="仿宋_GB2312" w:eastAsia="仿宋_GB2312" w:cs="仿宋_GB2312"/>
          <w:b w:val="0"/>
          <w:bCs w:val="0"/>
          <w:color w:val="000000"/>
          <w:sz w:val="16"/>
          <w:szCs w:val="16"/>
        </w:rPr>
        <w:t>需新增6张A6000，成熟期需37卡以上支撑，</w:t>
      </w:r>
      <w:bookmarkStart w:id="0" w:name="_GoBack"/>
      <w:bookmarkEnd w:id="0"/>
      <w:r>
        <w:rPr>
          <w:rFonts w:ascii="仿宋_GB2312" w:hAnsi="仿宋_GB2312" w:eastAsia="仿宋_GB2312" w:cs="仿宋_GB2312"/>
          <w:b w:val="0"/>
          <w:bCs w:val="0"/>
          <w:color w:val="000000"/>
          <w:sz w:val="16"/>
          <w:szCs w:val="16"/>
        </w:rPr>
        <w:t>建议采用混合云架构弹性应对峰值流量。</w:t>
      </w:r>
    </w:p>
    <w:sectPr>
      <w:pgSz w:w="11906" w:h="16838"/>
      <w:pgMar w:top="2160" w:right="2880" w:bottom="2160" w:left="36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9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237719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仿宋_GB2312" w:hAnsi="仿宋_GB2312" w:eastAsia="仿宋_GB2312" w:cs="仿宋_GB2312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仿宋_GB2312" w:hAnsi="仿宋_GB2312" w:eastAsia="仿宋_GB2312" w:cs="仿宋_GB2312"/>
      <w:color w:val="000000"/>
      <w:sz w:val="16"/>
      <w:szCs w:val="16"/>
    </w:rPr>
  </w:style>
  <w:style w:type="paragraph" w:styleId="2">
    <w:name w:val="heading 1"/>
    <w:next w:val="1"/>
    <w:qFormat/>
    <w:uiPriority w:val="0"/>
    <w:rPr>
      <w:rFonts w:ascii="仿宋_GB2312" w:hAnsi="仿宋_GB2312" w:eastAsia="仿宋_GB2312" w:cs="仿宋_GB2312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仿宋_GB2312" w:hAnsi="仿宋_GB2312" w:eastAsia="仿宋_GB2312" w:cs="仿宋_GB2312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仿宋_GB2312" w:hAnsi="仿宋_GB2312" w:eastAsia="仿宋_GB2312" w:cs="仿宋_GB2312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仿宋_GB2312" w:hAnsi="仿宋_GB2312" w:eastAsia="仿宋_GB2312" w:cs="仿宋_GB2312"/>
      <w:i/>
      <w:iCs/>
      <w:color w:val="2E74B5"/>
      <w:sz w:val="16"/>
      <w:szCs w:val="16"/>
    </w:rPr>
  </w:style>
  <w:style w:type="paragraph" w:styleId="6">
    <w:name w:val="heading 5"/>
    <w:next w:val="1"/>
    <w:qFormat/>
    <w:uiPriority w:val="0"/>
    <w:rPr>
      <w:rFonts w:ascii="仿宋_GB2312" w:hAnsi="仿宋_GB2312" w:eastAsia="仿宋_GB2312" w:cs="仿宋_GB2312"/>
      <w:color w:val="2E74B5"/>
      <w:sz w:val="16"/>
      <w:szCs w:val="16"/>
    </w:rPr>
  </w:style>
  <w:style w:type="paragraph" w:styleId="7">
    <w:name w:val="heading 6"/>
    <w:next w:val="1"/>
    <w:qFormat/>
    <w:uiPriority w:val="0"/>
    <w:rPr>
      <w:rFonts w:ascii="仿宋_GB2312" w:hAnsi="仿宋_GB2312" w:eastAsia="仿宋_GB2312" w:cs="仿宋_GB2312"/>
      <w:color w:val="1F4D78"/>
      <w:sz w:val="16"/>
      <w:szCs w:val="16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仿宋_GB2312" w:hAnsi="仿宋_GB2312" w:eastAsia="仿宋_GB2312" w:cs="仿宋_GB2312"/>
      <w:color w:val="000000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仿宋_GB2312" w:hAnsi="仿宋_GB2312" w:eastAsia="仿宋_GB2312" w:cs="仿宋_GB2312"/>
      <w:color w:val="000000"/>
      <w:sz w:val="20"/>
      <w:szCs w:val="20"/>
    </w:rPr>
  </w:style>
  <w:style w:type="paragraph" w:styleId="10">
    <w:name w:val="Title"/>
    <w:qFormat/>
    <w:uiPriority w:val="0"/>
    <w:rPr>
      <w:rFonts w:ascii="仿宋_GB2312" w:hAnsi="仿宋_GB2312" w:eastAsia="仿宋_GB2312" w:cs="仿宋_GB2312"/>
      <w:color w:val="000000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仿宋_GB2312" w:hAnsi="仿宋_GB2312" w:eastAsia="仿宋_GB2312" w:cs="仿宋_GB2312"/>
      <w:color w:val="000000"/>
      <w:sz w:val="16"/>
      <w:szCs w:val="16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4971</Words>
  <Characters>5887</Characters>
  <TotalTime>2</TotalTime>
  <ScaleCrop>false</ScaleCrop>
  <LinksUpToDate>false</LinksUpToDate>
  <CharactersWithSpaces>5936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2026-05-14T09:06:00Z</dcterms:created>
  <dc:creator>Un-named</dc:creator>
  <cp:lastModifiedBy>wzh</cp:lastModifiedBy>
  <dcterms:modified xsi:type="dcterms:W3CDTF">2026-05-14T09:19:40Z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eyJoZGlkIjoiODljZjRjOTY0NWFiZmEwOGE2YjE3ZWRmMDJmYjIzZjMifQ==</vt:lpwstr>
  </property>
  <property fmtid="{D5CDD505-2E9C-101B-9397-08002B2CF9AE}" pid="3" name="KSOProductBuildVer">
    <vt:lpwstr>2052-12.1.0.26375</vt:lpwstr>
  </property>
  <property fmtid="{D5CDD505-2E9C-101B-9397-08002B2CF9AE}" pid="4" name="ICV">
    <vt:lpwstr>5A23687491CB4B3F8149C0AF7BE9B1F4_12</vt:lpwstr>
  </property>
</Properties>
</file>