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 w:before="600" w:line="400"/>
        <w:jc w:val="center"/>
      </w:pPr>
      <w:r>
        <w:rPr>
          <w:rFonts w:ascii="黑体" w:cs="黑体" w:eastAsia="黑体" w:hAnsi="黑体"/>
          <w:b/>
          <w:bCs/>
          <w:color w:val="000000"/>
          <w:sz w:val="36"/>
          <w:szCs w:val="36"/>
        </w:rPr>
        <w:t xml:space="preserve">VibeTide AI智能内容协作平台项目立项文档</w:t>
      </w:r>
    </w:p>
    <w:p>
      <w:pPr>
        <w:spacing w:before="200"/>
      </w:pPr>
    </w:p>
    <w:p>
      <w:pPr>
        <w:spacing w:after="120" w:before="120" w:line="360"/>
        <w:jc w:val="center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（公文格式）</w:t>
      </w:r>
    </w:p>
    <w:p>
      <w:pPr>
        <w:spacing w:before="200"/>
      </w:pPr>
    </w:p>
    <w:p>
      <w:pPr>
        <w:spacing w:after="120" w:before="120" w:line="360"/>
        <w:jc w:val="center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文件编号：VT-2026-PRO-001    密级：内部资料    版本：V1.0    编制日期：2026年5月</w:t>
      </w:r>
    </w:p>
    <w:p>
      <w:pPr>
        <w:spacing w:before="200"/>
      </w:pPr>
    </w:p>
    <w:p>
      <w:r>
        <w:br w:type="page"/>
      </w:r>
    </w:p>
    <w:p>
      <w:pPr>
        <w:pStyle w:val="Heading2"/>
        <w:pBdr>
          <w:bottom w:val="single" w:color="1a56db" w:sz="4"/>
        </w:pBdr>
        <w:spacing w:after="240" w:before="480" w:line="36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一、背景</w:t>
      </w:r>
    </w:p>
    <w:p>
      <w:pPr>
        <w:spacing w:after="120" w:before="120" w:line="360"/>
        <w:ind w:firstLine="42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当前，传统媒体与新媒体融合进入深水区，行业面临三重结构性挑战。第一，内容供给效率与市场需求严重失衡。全媒体时代，用户内容消费频次提升3-5倍，但传统采编团队的日均产出能力基本恒定。地市级融媒体中心普遍存在"稿源缺口"，原创内容产能仅能满足约40%的分发需求，大量频道时段和新媒体位处于低填充率状态。</w:t>
      </w:r>
    </w:p>
    <w:p>
      <w:pPr>
        <w:spacing w:after="120" w:before="120" w:line="360"/>
        <w:ind w:firstLine="42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第二，多平台分发导致运营成本线性增长。一个内容团队往往需要同时覆盖App、网站、微信、抖音、快手、小红书等6-10个渠道，每个渠道的排版规范、审核标准、发布节奏各不相同。人工适配带来的边际成本居高不下，且错误率随渠道数量递增。</w:t>
      </w:r>
    </w:p>
    <w:p>
      <w:pPr>
        <w:spacing w:after="120" w:before="120" w:line="360"/>
        <w:ind w:firstLine="42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第三，内容质量一致性难以保障。传统模式下，选题策划、稿件撰写、审核把关高度依赖个人经验，缺乏系统化的质量标准与流程闭环。热点响应速度慢、选题重复率高、审核标准执行不一致等问题普遍存在。</w:t>
      </w:r>
    </w:p>
    <w:p>
      <w:pPr>
        <w:spacing w:after="120" w:before="120" w:line="360"/>
        <w:ind w:firstLine="42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与此同时，大语言模型与多模态AI技术已跨越概念验证阶段，进入产业落地窗口期。AI在文本生成、语义理解、内容审核、视频脚本生成等环节已展现出可量化的效率提升（行业平均提效3-8倍）。率先将AI能力嵌入内容生产全链路的媒体机构，将在内容时效性、覆盖广度和运营成本上形成显著竞争优势。</w:t>
      </w:r>
    </w:p>
    <w:p>
      <w:pPr>
        <w:spacing w:after="120" w:before="120" w:line="360"/>
        <w:ind w:firstLine="42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基于上述行业痛点与技术窗口，建设一套以AI为核心驱动力的智能内容协作平台，已成为媒体数字化转型的刚性需求。</w:t>
      </w:r>
    </w:p>
    <w:p>
      <w:pPr>
        <w:pStyle w:val="Heading2"/>
        <w:pBdr>
          <w:bottom w:val="single" w:color="1a56db" w:sz="4"/>
        </w:pBdr>
        <w:spacing w:after="240" w:before="480" w:line="36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二、建设内容</w:t>
      </w:r>
    </w:p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（一）项目意义</w:t>
      </w:r>
    </w:p>
    <w:p>
      <w:pPr>
        <w:spacing w:after="120" w:before="240" w:line="320"/>
      </w:pPr>
      <w:r>
        <w:rPr>
          <w:rFonts w:ascii="黑体" w:cs="黑体" w:eastAsia="黑体" w:hAnsi="黑体"/>
          <w:b/>
          <w:bCs/>
          <w:color w:val="000000"/>
          <w:sz w:val="18"/>
          <w:szCs w:val="18"/>
        </w:rPr>
        <w:t xml:space="preserve">1.战略价值</w:t>
      </w:r>
    </w:p>
    <w:p>
      <w:pPr>
        <w:spacing w:after="120" w:before="120" w:line="360"/>
        <w:ind w:firstLine="42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本项目将AI能力从"单点工具"升级为"系统级能力"，实现从辅助工具到生产基础设施的战略跃迁。平台建成后，媒体机构可构建"AI数字员工团队"协作范式，将人力从重复性内容生产中释放，聚焦于创意策划与价值判断等高阶工作，实现组织能力的结构性升级。</w:t>
      </w:r>
    </w:p>
    <w:p>
      <w:pPr>
        <w:spacing w:after="120" w:before="240" w:line="320"/>
      </w:pPr>
      <w:r>
        <w:rPr>
          <w:rFonts w:ascii="黑体" w:cs="黑体" w:eastAsia="黑体" w:hAnsi="黑体"/>
          <w:b/>
          <w:bCs/>
          <w:color w:val="000000"/>
          <w:sz w:val="18"/>
          <w:szCs w:val="18"/>
        </w:rPr>
        <w:t xml:space="preserve">2.业务价值</w:t>
      </w:r>
    </w:p>
    <w:p>
      <w:pPr>
        <w:spacing w:after="120" w:before="120" w:line="360"/>
        <w:ind w:firstLine="42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项目预期实现以下可量化的业务目标：内容产出效率提升，日均原创内容产出量提升300%以上；多渠道覆盖能力增强，单条内容自动适配分发渠道数≥8个；热点响应时效缩短，从热点发生到内容上线缩短至30分钟以内；内容审核通过率提高，AI辅助审核后一次通过率≥95%；运营人效提升，单人管理的频道/栏目数量提升200%。</w:t>
      </w:r>
    </w:p>
    <w:p>
      <w:pPr>
        <w:spacing w:after="120" w:before="240" w:line="320"/>
      </w:pPr>
      <w:r>
        <w:rPr>
          <w:rFonts w:ascii="黑体" w:cs="黑体" w:eastAsia="黑体" w:hAnsi="黑体"/>
          <w:b/>
          <w:bCs/>
          <w:color w:val="000000"/>
          <w:sz w:val="18"/>
          <w:szCs w:val="18"/>
        </w:rPr>
        <w:t xml:space="preserve">3.建设合理性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需求合理性：平台覆盖的37个功能模块和27+场景模板均来自媒体内容生产的真实业务流程，每个模块对应一个可独立度量的业务指标，不存在脱离实际需求的"技术堆砌"。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架构合理性：采用"主智能体统筹+专项AI员工协作"的组织模式，天然映射媒体采编团队的实际分工结构（策划→采写→审核→分发→复盘），降低了组织适配成本和学习门槛。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风险可控性：平台采用"AI辅助、人工把关"的人机协作模式，所有关键环节（发布、审核、敏感内容判断）保留人工决策节点，确保内容安全底线不被突破，符合媒体行业监管合规要求。</w:t>
      </w:r>
    </w:p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（二）设计要求</w:t>
      </w:r>
    </w:p>
    <w:p>
      <w:pPr>
        <w:spacing w:after="120" w:before="240" w:line="320"/>
      </w:pPr>
      <w:r>
        <w:rPr>
          <w:rFonts w:ascii="黑体" w:cs="黑体" w:eastAsia="黑体" w:hAnsi="黑体"/>
          <w:b/>
          <w:bCs/>
          <w:color w:val="000000"/>
          <w:sz w:val="18"/>
          <w:szCs w:val="18"/>
        </w:rPr>
        <w:t xml:space="preserve">1.设计理念</w:t>
      </w:r>
    </w:p>
    <w:p>
      <w:pPr>
        <w:spacing w:after="120" w:before="120" w:line="360"/>
        <w:ind w:firstLine="42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平台设计围绕三个核心理念：AI优先，人机协同——将AI智能体定位为"数字员工"而非工具，每个智能体拥有独立身份、技能树和协作能力，人类用户以"管理者"身份进行编排和决策；场景驱动，技能组合——不预设固定流程，通过12大业务场景×27+技能的自由组合，覆盖从热点发现到内容分发的全链路，同时保持每个环节的可替换性；渐进智能，持续学习——平台具备记忆和自优化机制，智能体在执行任务过程中积累经验、提升准确率，而非每次从零开始。</w:t>
      </w:r>
    </w:p>
    <w:p>
      <w:pPr>
        <w:spacing w:after="120" w:before="240" w:line="320"/>
      </w:pPr>
      <w:r>
        <w:rPr>
          <w:rFonts w:ascii="黑体" w:cs="黑体" w:eastAsia="黑体" w:hAnsi="黑体"/>
          <w:b/>
          <w:bCs/>
          <w:color w:val="000000"/>
          <w:sz w:val="18"/>
          <w:szCs w:val="18"/>
        </w:rPr>
        <w:t xml:space="preserve">2.设计原则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模块化原则：智能体、技能、工作流、知识库各自独立，可单独升级或替换，不产生连锁影响。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可扩展原则：新增智能体角色、新增技能、新增分发渠道均无需改动核心框架。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多租户隔离原则：不同组织的数据、配置、智能体实例完全隔离，互不可见。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可观测原则：任务执行的每个步骤状态可追踪、可回溯，支持异常定位。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降级容错原则：AI服务不可用时，平台基础功能（内容编辑、任务查看）不受影响。</w:t>
      </w:r>
    </w:p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（三）实现需求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R-01 智能体调度：支持主智能体统筹分配任务至专业智能体，支持并行执行与依赖排序，实现一次指令驱动多角色协作，降低操作成本。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R-02 对话交互：支持自然语言发起任务，系统自动识别意图并路由至对应技能，支持多轮澄清和流式输出，用户无需学习操作路径，对话即操作。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R-03 知识管理：支持个人/团队级知识库创建，支持文档导入、网页抓取、语义检索，智能体执行时自动调用相关知识，使智能体具备组织上下文，输出更贴合业务。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R-04 任务编排：支持可视化任务流程配置，支持条件分支、失败重试、实时进度展示，复杂工作流可沉淀为模板，团队可复用。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R-05 内容生产：支持图文、视频脚本、播客稿等多格式内容生成，内置质量审核和敏感词过滤，一站式完成从选题到成稿。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R-06 多渠道分发：对接外部CMS系统，支持文章入库、栏目映射、发布状态回查，减少人工搬运，发布效率提升。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R-07 数据反馈：支持发布后数据回收（阅读量、互动率等），形成"生产→发布→分析→优化"闭环，用数据驱动内容策略迭代。</w:t>
      </w:r>
    </w:p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（四）部署要求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DEP-01 容器化交付：所有服务模块以容器镜像形式交付，统一编排调度，确保开发、测试、生产环境一致性。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DEP-02 内网隔离部署：核心业务服务与数据库部署于内网，仅网关层暴露公网入口；AI推理服务与向量检索服务通过内网专线调用。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DEP-03 高可用冗余：关键服务采用主从/多副本部署，单节点故障时自动切换，业务无感知；数据库具备自动故障转移与定时备份能力。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DEP-04 弹性伸缩：应用层支持基于负载指标的自动扩缩容，应对峰值流量；AI推理层支持按并发请求数动态调度推理实例。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DEP-05 无中断发布：生产环境支持滚动更新，发布过程可观测、可快速回滚。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DEP-06 日志与监控：全链路日志采集与集中存储，关键指标实时监控并配置告警阈值。</w:t>
      </w:r>
    </w:p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（五）测试要求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TST-01 功能测试：覆盖全部功能模块的核心业务流程，包括AI员工协作链路、内容生产全流程、CMS发布对接等关键路径，用例覆盖率不低于85%。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TST-02 性能测试：模拟峰值用户并发场景，验证响应时间、吞吐量与资源占用满足性能指标要求；长时运行（72小时）稳定性测试无内存泄漏与服务降级。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TST-03 安全测试：覆盖身份认证、权限隔离（多租户数据隔离）、输入校验、接口防篡改；敏感数据传输与存储加密合规。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TST-04 兼容性测试：主流浏览器（Chrome、Firefox、Edge、Safari）最近两个大版本兼容；移动端自适应布局可用。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TST-05 回归测试：每次迭代发布前执行自动化回归，确保已有功能不受影响。</w:t>
      </w:r>
    </w:p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（六）安全保障</w:t>
      </w:r>
    </w:p>
    <w:p>
      <w:pPr>
        <w:spacing w:after="120" w:before="240" w:line="320"/>
      </w:pPr>
      <w:r>
        <w:rPr>
          <w:rFonts w:ascii="黑体" w:cs="黑体" w:eastAsia="黑体" w:hAnsi="黑体"/>
          <w:b/>
          <w:bCs/>
          <w:color w:val="000000"/>
          <w:sz w:val="18"/>
          <w:szCs w:val="18"/>
        </w:rPr>
        <w:t xml:space="preserve">1.LLM对话安全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SEC-LLM-01：平台应对大模型输出内容进行实时安全过滤，拦截涉政、涉黄、涉暴等违规内容，确保输出符合内容安全规范，违规内容拦截率≥99%，误拦率≤1%。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SEC-LLM-02：平台应具备提示词注入攻击防御能力，识别并阻断恶意构造的输入指令，注入攻击识别率≥98%，防御成功率≥99%。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SEC-LLM-03：平台应对敏感话题关键词进行分级管控，支持按组织维度配置敏感词策略，敏感词库覆盖≥5000条，策略生效延迟≤5秒。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SEC-LLM-04：平台应记录所有AI对话的完整交互日志，支持事后追溯与审计，日志保留≥180天，查询响应≤3秒。</w:t>
      </w:r>
    </w:p>
    <w:p>
      <w:pPr>
        <w:spacing w:after="120" w:before="240" w:line="320"/>
      </w:pPr>
      <w:r>
        <w:rPr>
          <w:rFonts w:ascii="黑体" w:cs="黑体" w:eastAsia="黑体" w:hAnsi="黑体"/>
          <w:b/>
          <w:bCs/>
          <w:color w:val="000000"/>
          <w:sz w:val="18"/>
          <w:szCs w:val="18"/>
        </w:rPr>
        <w:t xml:space="preserve">2.Skills执行安全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SEC-SKILL-01：每个Skill应具备明确的权限边界声明，运行时仅能访问其声明的资源与接口，权限越界事件拦截率100%。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SEC-SKILL-02：平台应对Skill执行过程进行实时监控，异常行为（超时、资源超限、错误率飙升）自动熔断，熔断响应时间≤2秒，误熔断率≤0.5%。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SEC-SKILL-03：平台应记录每个Skill的完整执行轨迹（调用链、输入输出、耗时），支持审计追踪，审计记录完整率100%，轨迹查询响应≤5秒。</w:t>
      </w:r>
    </w:p>
    <w:p>
      <w:pPr>
        <w:spacing w:after="120" w:before="240" w:line="320"/>
      </w:pPr>
      <w:r>
        <w:rPr>
          <w:rFonts w:ascii="黑体" w:cs="黑体" w:eastAsia="黑体" w:hAnsi="黑体"/>
          <w:b/>
          <w:bCs/>
          <w:color w:val="000000"/>
          <w:sz w:val="18"/>
          <w:szCs w:val="18"/>
        </w:rPr>
        <w:t xml:space="preserve">3.Skills上传安全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SEC-UPLOAD-01：用户上传的Skill文件应经过恶意内容检测，包括代码注入、恶意脚本、隐藏指令等，恶意内容检出率≥99%。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SEC-UPLOAD-02：平台应对上传文件进行格式校验、大小限制、类型白名单过滤，拒绝不合规文件，不合规文件拦截率100%。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SEC-UPLOAD-03：上传文件应在独立沙箱环境中完成解析与验证，隔离其对主系统的影响，沙箱逃逸防护率100%。</w:t>
      </w:r>
    </w:p>
    <w:p>
      <w:pPr>
        <w:spacing w:after="120" w:before="240" w:line="320"/>
      </w:pPr>
      <w:r>
        <w:rPr>
          <w:rFonts w:ascii="黑体" w:cs="黑体" w:eastAsia="黑体" w:hAnsi="黑体"/>
          <w:b/>
          <w:bCs/>
          <w:color w:val="000000"/>
          <w:sz w:val="18"/>
          <w:szCs w:val="18"/>
        </w:rPr>
        <w:t xml:space="preserve">4.数据安全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SEC-DATA-01：平台应实现严格的多租户数据隔离，确保不同组织间的数据不可互访，隔离有效性验证通过率100%。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SEC-DATA-02：平台所有数据传输应采用TLS 1.2及以上加密协议，静态存储敏感字段应加密，传输加密覆盖率100%。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SEC-DATA-03：平台应支持自动化数据备份，并具备在≤4小时内完成数据恢复的能力，备份成功率≥99.9%，RTO≤4h，RPO≤1h。</w:t>
      </w:r>
    </w:p>
    <w:p>
      <w:pPr>
        <w:spacing w:after="120" w:before="240" w:line="320"/>
      </w:pPr>
      <w:r>
        <w:rPr>
          <w:rFonts w:ascii="黑体" w:cs="黑体" w:eastAsia="黑体" w:hAnsi="黑体"/>
          <w:b/>
          <w:bCs/>
          <w:color w:val="000000"/>
          <w:sz w:val="18"/>
          <w:szCs w:val="18"/>
        </w:rPr>
        <w:t xml:space="preserve">5.访问安全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SEC-ACCESS-01：平台应提供统一的身份认证机制，支持邮箱密码登录及第三方OAuth接入，认证成功率≥99.9%。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SEC-ACCESS-02：平台应实现基于角色的访问控制（RBAC），支持组织级、团队级、功能级三层层级权限管理，权限校验响应≤50ms。</w:t>
      </w:r>
    </w:p>
    <w:p>
      <w:pPr>
        <w:pStyle w:val="ListParagraph"/>
        <w:numPr>
          <w:ilvl w:val="0"/>
          <w:numId w:val="1"/>
        </w:numPr>
        <w:spacing w:after="60" w:before="60" w:line="340"/>
        <w:ind w:left="420"/>
      </w:pPr>
      <w:r>
        <w:rPr>
          <w:rFonts w:ascii="仿宋_GB2312" w:cs="仿宋_GB2312" w:eastAsia="仿宋_GB2312" w:hAnsi="仿宋_GB2312"/>
          <w:color w:val="000000"/>
          <w:sz w:val="16"/>
          <w:szCs w:val="16"/>
        </w:rPr>
        <w:t xml:space="preserve">SEC-ACCESS-03：平台应记录所有用户操作日志（登录、数据访问、配置变更），支持按时间/用户/操作类型检索，操作审计覆盖率100%，日志保留≥180天。</w:t>
      </w:r>
    </w:p>
    <w:p>
      <w:r>
        <w:br w:type="page"/>
      </w:r>
    </w:p>
    <w:p>
      <w:pPr>
        <w:pStyle w:val="Heading2"/>
        <w:pBdr>
          <w:bottom w:val="single" w:color="1a56db" w:sz="4"/>
        </w:pBdr>
        <w:spacing w:after="240" w:before="480" w:line="36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三、功能指标</w:t>
      </w:r>
    </w:p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（一）智能体协作指标</w:t>
      </w:r>
    </w:p>
    <w:p>
      <w:pPr>
        <w:spacing w:after="120" w:before="120" w:line="360"/>
        <w:ind w:firstLine="42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意图识别准确率≥92%，即用户对话意图被正确路由至对应技能的比例；单次对话响应时间≤3s（首字输出），即流式输出场景下首字延迟；多智能体协作成功率≥95%，含主智能体调度+子任务执行的端到端成功率；任务完成准确率≥85%，即生成内容无需人工大幅修改即可直接使用的比例；上下文记忆命中率≥80%，即智能体执行任务时成功调用相关知识库内容的比例；任务推送成功率≥99.8%，即主智能体分发任务到目标员工的成功率；通知送达率100%，即任务完成后实时通知的送达率。</w:t>
      </w:r>
    </w:p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（二）Skills平台指标</w:t>
      </w:r>
    </w:p>
    <w:p>
      <w:pPr>
        <w:spacing w:after="120" w:before="120" w:line="360"/>
        <w:ind w:firstLine="42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内置技能覆盖数≥27个，涵盖选题、写作、审核、发布等全链路技能；工作流模板数≥27个，覆盖12大业务场景的预设模板；技能热加载时间≤5s，即新增或更新技能后生效时间；技能创建成功率（手动）≥99%，技能创建成功率（上传）≥95%；技能组合上限为10个技能串联，即单个工作流中技能组合的最大数量；CMS入库发布成功率≥99%，即文章从提交到CMS上线的端到端成功率；栏目同步准确率100%，即CMS栏目映射同步的准确率。</w:t>
      </w:r>
    </w:p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（三）部署运维指标</w:t>
      </w:r>
    </w:p>
    <w:p>
      <w:pPr>
        <w:spacing w:after="120" w:before="120" w:line="360"/>
        <w:ind w:firstLine="42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平台可用性≥99.9%（月度），不含计划维护窗口；页面加载时间≤2s，即核心页面首屏渲染时间；故障恢复时间（MTTR）≤30min，即从故障发现到服务恢复；定时任务执行准确率100%，即调度任务准时执行率；数据库迁移成功率100%，即Schema变更推送成功率。</w:t>
      </w:r>
    </w:p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（四）安全指标</w:t>
      </w:r>
    </w:p>
    <w:p>
      <w:pPr>
        <w:spacing w:after="120" w:before="120" w:line="360"/>
        <w:ind w:firstLine="42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敏感词拦截率≥99%，即内容发布前自动审核拦截违规内容；多租户数据泄露0次，即组织间数据严格隔离，无越权访问；权限校验覆盖率100%，即所有API和页面操作均经过角色权限校验；操作审计日志留存≥180天，即关键操作（发布、删除、权限变更）可追溯；恶意技能上传检测率≥99.9%，即用户上传技能的恶意内容检出率；LLM不当内容过滤率≥99.9%，即模型输出违规内容的拦截率；提示词攻击防御率≥99%，即Prompt注入攻击的防御成功率。</w:t>
      </w:r>
    </w:p>
    <w:p>
      <w:r>
        <w:br w:type="page"/>
      </w:r>
    </w:p>
    <w:p>
      <w:pPr>
        <w:pStyle w:val="Heading2"/>
        <w:pBdr>
          <w:bottom w:val="single" w:color="1a56db" w:sz="4"/>
        </w:pBdr>
        <w:spacing w:after="240" w:before="480" w:line="36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四、性能指标</w:t>
      </w:r>
    </w:p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（一）并发性能资源规划</w:t>
      </w:r>
    </w:p>
    <w:p>
      <w:pPr>
        <w:spacing w:after="120" w:before="120" w:line="360"/>
        <w:ind w:firstLine="42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注：以下指标基于Qwen3-72B-Instruct模型+昇腾910B方案测算。Qwen3-72B INT4需36GB显存，昇腾910B单卡32GB，需2卡组成推理单元支持1并发。实际部署需预留30%冗余应对突发，建议采用混合云架构弹性应对峰值流量。</w:t>
      </w:r>
    </w:p>
    <w:tbl>
      <w:tblPr>
        <w:tblW w:type="pct" w:w="100%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指标维度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初期（100人）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中期（200人）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成熟期（500人）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峰值（800人）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计算资源（CPU/内存）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8核16GB×4实例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8核16GB×8实例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16核32GB×16实例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16核32GB×24实例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AI推理资源（GPU）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昇腾910B×24卡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昇腾910B×48卡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昇腾910B×98卡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昇腾910B×156卡（含云弹性）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存储资源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200GB SSD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500GB SSD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1TB SSD+对象存储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2TB SSD+对象存储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网络带宽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50Mbps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100Mbps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200Mbps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500Mbps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页面QPS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≥30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≥60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≥150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≥250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API QPS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≥60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≥120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≥300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≥500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平均响应时间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≤1s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≤1s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≤1.2s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≤1.5s</w:t>
            </w:r>
          </w:p>
        </w:tc>
      </w:tr>
    </w:tbl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（二）系统稳定性指标</w:t>
      </w:r>
    </w:p>
    <w:tbl>
      <w:tblPr>
        <w:tblW w:type="pct" w:w="100%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指标项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目标值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系统可用性（月度）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≥99.9%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单点故障恢复时间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≤30秒（自动切换）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数据备份频率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每日全量+实时增量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数据恢复RTO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≤1小时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数据恢复RPO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≤5分钟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发布回滚时间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≤10分钟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告警响应时间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≤5分钟</w:t>
            </w:r>
          </w:p>
        </w:tc>
      </w:tr>
    </w:tbl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（三）数据处理性能指标</w:t>
      </w:r>
    </w:p>
    <w:tbl>
      <w:tblPr>
        <w:tblW w:type="pct" w:w="100%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指标项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目标值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向量检索响应（1024维）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≤300ms（Top-10召回）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AI内容生成首字延迟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≤500ms（Qwen3-72B流式输出，昇腾910B模型并行）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AI内容生成速度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≥20 tokens/s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批量任务处理吞吐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≥30任务/分钟（GPU密集型）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热榜数据抓取延迟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≤5分钟（从发布到入库）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CMS文章发布延迟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≤3分钟（从提交到上线）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知识库文档向量化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≤60秒/篇（万字符级）</w:t>
            </w:r>
          </w:p>
        </w:tc>
      </w:tr>
    </w:tbl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（四）低峰时间性能指标</w:t>
      </w:r>
    </w:p>
    <w:tbl>
      <w:tblPr>
        <w:tblW w:type="pct" w:w="100%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指标项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目标值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后半夜定时任务执行效率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资源利用率≥80%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系统维护窗口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每月≤4小时，且需安排在非工作时间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1a56db" w:sz="4"/>
        </w:pBdr>
        <w:spacing w:after="240" w:before="480" w:line="36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五、资源测算</w:t>
      </w:r>
    </w:p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（一）硬件与模型配置</w:t>
      </w:r>
    </w:p>
    <w:tbl>
      <w:tblPr>
        <w:tblW w:type="pct" w:w="100%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硬件/模型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参数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说明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GPU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昇腾910B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32GB显存，256 TOPS算力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模型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Qwen3-72B-Instruct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INT4量化需36GB显存</w:t>
            </w:r>
          </w:p>
        </w:tc>
      </w:tr>
    </w:tbl>
    <w:p>
      <w:pPr>
        <w:spacing w:after="120" w:before="120" w:line="360"/>
        <w:ind w:firstLine="42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配置说明：Qwen3-72B INT4需36GB显存，昇腾910B单卡仅32GB，需采用模型并行方案，每2张昇腾910B组成一个推理单元，支持1并发请求。</w:t>
      </w:r>
    </w:p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（二）资源测算逻辑</w:t>
      </w:r>
    </w:p>
    <w:p>
      <w:pPr>
        <w:spacing w:after="120" w:before="120" w:line="360"/>
        <w:ind w:firstLine="42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基础公式：推理单元数 = 并发数 × (1 + 预留比例)。单推理单元 = 2张昇腾910B。以成熟期500日活为例，基础问答需3并发，定时任务峰值需25并发，预留30%，总计需49个推理单元，即98张昇腾910B。</w:t>
      </w:r>
    </w:p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（三）综合GPU需求（昇腾910B）</w:t>
      </w:r>
    </w:p>
    <w:tbl>
      <w:tblPr>
        <w:tblW w:type="pct" w:w="100%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阶段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日活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推理单元数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GPU数量（2卡/单元）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初期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100人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24卡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中期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200人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24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48卡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成熟期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500人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49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98卡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峰值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800人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78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156卡</w:t>
            </w:r>
          </w:p>
        </w:tc>
      </w:tr>
    </w:tbl>
    <w:p>
      <w:pPr>
        <w:spacing w:after="120" w:before="120" w:line="360"/>
        <w:ind w:firstLine="42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说明：现有2张A6000需全部替换为昇腾910B。初期需采购24张昇腾910B（3台8卡服务器），建议采用混合云架构弹性应对峰值流量。</w:t>
      </w:r>
    </w:p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（四）方案对比分析</w:t>
      </w:r>
    </w:p>
    <w:tbl>
      <w:tblPr>
        <w:tblW w:type="pct" w:w="100%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维度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昇腾910B方案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A6000方案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单卡显存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32GB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48GB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单卡支持并发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0.5（需2卡）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1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成熟期GPU需求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98卡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37卡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成本估算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1854万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377万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国产化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100%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0%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生态成熟度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中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高</w:t>
            </w:r>
          </w:p>
        </w:tc>
      </w:tr>
    </w:tbl>
    <w:p>
      <w:pPr>
        <w:spacing w:after="120" w:before="120" w:line="360"/>
        <w:ind w:firstLine="42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结论：昇腾910B方案成本更高但完全自主可控，适合高安全要求场景；A6000方案成本效益更高，适合快速上线。建议根据业务安全要求选择。</w:t>
      </w:r>
    </w:p>
    <w:p>
      <w:pPr>
        <w:pStyle w:val="Heading3"/>
        <w:spacing w:after="180" w:before="360" w:line="340"/>
      </w:pPr>
      <w:r>
        <w:rPr>
          <w:rFonts w:ascii="黑体" w:cs="黑体" w:eastAsia="黑体" w:hAnsi="黑体"/>
          <w:b/>
          <w:bCs/>
          <w:color w:val="000000"/>
          <w:sz w:val="20"/>
          <w:szCs w:val="20"/>
        </w:rPr>
        <w:t xml:space="preserve">（五）成本估算（昇腾910B）</w:t>
      </w:r>
    </w:p>
    <w:tbl>
      <w:tblPr>
        <w:tblW w:type="pct" w:w="100%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配置项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单价（元）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数量</w:t>
            </w:r>
          </w:p>
        </w:tc>
        <w:tc>
          <w:tcPr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ffffff"/>
                <w:sz w:val="15"/>
                <w:szCs w:val="15"/>
              </w:rPr>
              <w:t xml:space="preserve">小计（元）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昇腾910B芯片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80,000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98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7,840,000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昇腾服务器（8卡）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800,000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10,400,000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网络存储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200,000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200,000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软件许可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100,000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100,000</w:t>
            </w:r>
          </w:p>
        </w:tc>
      </w:tr>
      <w:tr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left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总计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shd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20"/>
              <w:jc w:val="center"/>
            </w:pPr>
            <w:r>
              <w:rPr>
                <w:rFonts w:ascii="仿宋_GB2312" w:cs="仿宋_GB2312" w:eastAsia="仿宋_GB2312" w:hAnsi="仿宋_GB2312"/>
                <w:color w:val="000000"/>
                <w:sz w:val="15"/>
                <w:szCs w:val="15"/>
              </w:rPr>
              <w:t xml:space="preserve">18,540,000</w:t>
            </w:r>
          </w:p>
        </w:tc>
      </w:tr>
    </w:tbl>
    <w:p>
      <w:r>
        <w:br w:type="page"/>
      </w:r>
    </w:p>
    <w:p>
      <w:pPr>
        <w:spacing w:after="120" w:before="120" w:line="360"/>
        <w:jc w:val="center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16"/>
          <w:szCs w:val="16"/>
        </w:rPr>
        <w:t xml:space="preserve">文档结束</w:t>
      </w:r>
    </w:p>
    <w:sectPr>
      <w:pgSz w:w="11906" w:h="16838" w:orient="portrait"/>
      <w:pgMar w:top="2160" w:right="2880" w:bottom="2160" w:left="3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_GB2312" w:cs="仿宋_GB2312" w:eastAsia="仿宋_GB2312" w:hAnsi="仿宋_GB2312"/>
        <w:color w:val="000000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2026-05-18T02:49:16.516Z</dcterms:created>
  <dcterms:modified xsi:type="dcterms:W3CDTF">2026-05-18T02:49:16.516Z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