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248D7">
      <w:pPr>
        <w:pStyle w:val="2"/>
        <w:spacing w:before="600" w:after="400" w:line="400" w:lineRule="auto"/>
        <w:jc w:val="center"/>
      </w:pPr>
      <w:r>
        <w:rPr>
          <w:rFonts w:ascii="黑体" w:hAnsi="黑体" w:eastAsia="黑体" w:cs="黑体"/>
          <w:b/>
          <w:bCs/>
          <w:color w:val="000000"/>
          <w:sz w:val="36"/>
          <w:szCs w:val="36"/>
        </w:rPr>
        <w:t>VibeTide AI智能内容协作平台项目立项文档</w:t>
      </w:r>
    </w:p>
    <w:p w14:paraId="2D33A54D">
      <w:pPr>
        <w:spacing w:before="200"/>
      </w:pPr>
    </w:p>
    <w:p w14:paraId="769CAC60">
      <w:r>
        <w:br w:type="page"/>
      </w:r>
    </w:p>
    <w:p w14:paraId="64F21426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一、背景</w:t>
      </w:r>
    </w:p>
    <w:p w14:paraId="238DBFDD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当前，传统媒体与新媒体融合进入深水区，行业面临三重结构性挑战。第一，内容供给效率与市场需求严重失衡。全媒体时代，用户内容消费频次提升3-5倍，但传统采编团队的日均产出能力基本恒定。地市级融媒体中心普遍存在"稿源缺口"，原创内容产能仅能满足约40%的分发需求，大量频道时段和新媒体位处于低填充率状态。</w:t>
      </w:r>
    </w:p>
    <w:p w14:paraId="2B5BEBBE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第二，多平台分发导致运营成本线性增长。一个内容团队往往需要同时覆盖App、网站、微信、抖音、快手、小红书等6-10个渠道，每个渠道的排版规范、审核标准、发布节奏各不相同。人工适配带来的边际成本居高不下，且错误率随渠道数量递增。</w:t>
      </w:r>
    </w:p>
    <w:p w14:paraId="7B42FE8F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第三，内容质量一致性难以保障。传统模式下，选题策划、稿件撰写、审核把关高度依赖个人经验，缺乏系统化的质量标准与流程闭环。热点响应速度慢、选题重复率高、审核标准执行不一致等问题普遍存在。</w:t>
      </w:r>
    </w:p>
    <w:p w14:paraId="5325BE92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与此同时，大语言模型与多模态AI技术已跨越概念验证阶段，进入产业落地窗口期。AI在文本生成、语义理解、内容审核、视频脚本生成等环节已展现出可量化的效率提升（行业平均提效3-8倍）。率先将AI能力嵌入内容生产全链路的媒体机构，将在内容时效性、覆盖广度和运营成本上形成显著竞争优势。</w:t>
      </w:r>
    </w:p>
    <w:p w14:paraId="46CCED86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基于上述行业痛点与技术窗口，建设一套以AI为核心驱动力的智能内容协作平台，已成为媒体数字化转型的刚性需求。</w:t>
      </w:r>
    </w:p>
    <w:p w14:paraId="31670C8C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二、建设内容</w:t>
      </w:r>
    </w:p>
    <w:p w14:paraId="5E219CF7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（一）项目意义</w:t>
      </w:r>
    </w:p>
    <w:p w14:paraId="2C26DE4F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1.战略价值</w:t>
      </w:r>
    </w:p>
    <w:p w14:paraId="345B7D68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本项目将AI能力从"单点工具"升级为"系统级能力"，实现从辅助工具到生产基础设施的战略跃迁。平台建成后，媒体机构可构建"AI数字员工团队"协作范式，将人力从重复性内容生产中释放，聚焦于创意策划与价值判断等高阶工作，实现组织能力的结构性升级。</w:t>
      </w:r>
    </w:p>
    <w:p w14:paraId="1B8C4D59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2.业务价值</w:t>
      </w:r>
    </w:p>
    <w:p w14:paraId="215FDB29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项目预期实现以下可量化的业务目标：内容产出效率提升，日均原创内容产出量提升300%以上；多渠道覆盖能力增强，单条内容自动适配分发渠道数≥8个；热点响应时效缩短，从热点发生到内容上线缩短至30分钟以内；内容审核通过率提高，AI辅助审核后一次通过率≥95%；运营人效提升，单人管理的频道/栏目数量提升200%。</w:t>
      </w:r>
    </w:p>
    <w:p w14:paraId="66881C99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3.建设合理性</w:t>
      </w:r>
    </w:p>
    <w:p w14:paraId="2689FDDA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需求合理性：平台覆盖的37个功能模块和27+场景模板均来自媒体内容生产的真实业务流程，每个模块对应一个可独立度量的业务指标，不存在脱离实际需求的"技术堆砌"。</w:t>
      </w:r>
    </w:p>
    <w:p w14:paraId="294BBAEE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架构合理性：采用"主智能体统筹+专项AI员工协作"的组织模式，天然映射媒体采编团队的实际分工结构（策划→采写→审核→分发→复盘），降低了组织适配成本和学习门槛。</w:t>
      </w:r>
    </w:p>
    <w:p w14:paraId="5EB173EB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风险可控性：平台采用"AI辅助、人工把关"的人机协作模式，所有关键环节（发布、审核、敏感内容判断）保留人工决策节点，确保内容安全底线不被突破，符合媒体行业监管合规要求。</w:t>
      </w:r>
    </w:p>
    <w:p w14:paraId="2FAC09D6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（二）设计要求</w:t>
      </w:r>
    </w:p>
    <w:p w14:paraId="40BD619B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1.设计理念</w:t>
      </w:r>
    </w:p>
    <w:p w14:paraId="72F36892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平台设计围绕三个核心理念：AI优先，人机协同——将AI智能体定位为"数字员工"而非工具，每个智能体拥有独立身份、技能树和协作能力，人类用户以"管理者"身份进行编排和决策；场景驱动，技能组合——不预设固定流程，通过12大业务场景×27+技能的自由组合，覆盖从热点发现到内容分发的全链路，同时保持每个环节的可替换性；渐进智能，持续学习——平台具备记忆和自优化机制，智能体在执行任务过程中积累经验、提升准确率，而非每次从零开始。</w:t>
      </w:r>
    </w:p>
    <w:p w14:paraId="289DE7B7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2.设计原则</w:t>
      </w:r>
    </w:p>
    <w:p w14:paraId="143E287E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模块化原则：智能体、技能、工作流、知识库各自独立，可单独升级或替换，不产生连锁影响。</w:t>
      </w:r>
    </w:p>
    <w:p w14:paraId="1CAF0B8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可扩展原则：新增智能体角色、新增技能、新增分发渠道均无需改动核心框架。</w:t>
      </w:r>
    </w:p>
    <w:p w14:paraId="3231BC1B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多租户隔离原则：不同组织的数据、配置、智能体实例完全隔离，互不可见。</w:t>
      </w:r>
    </w:p>
    <w:p w14:paraId="0057C826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可观测原则：任务执行的每个步骤状态可追踪、可回溯，支持异常定位。</w:t>
      </w:r>
    </w:p>
    <w:p w14:paraId="3D0F4B2C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降级容错原则：AI服务不可用时，平台基础功能（内容编辑、任务查看）不受影响。</w:t>
      </w:r>
    </w:p>
    <w:p w14:paraId="031FDAAE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（三）实现需求</w:t>
      </w:r>
    </w:p>
    <w:p w14:paraId="6DBAD16D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R-01 智能体调度：支持主智能体统筹分配任务至专业智能体，支持并行执行与依赖排序，实现一次指令驱动多角色协作，降低操作成本。</w:t>
      </w:r>
    </w:p>
    <w:p w14:paraId="1E5A5C90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R-02 对话交互：支持自然语言发起任务，系统自动识别意图并路由至对应技能，支持多轮澄清和流式输出，用户无需学习操作路径，对话即操作。</w:t>
      </w:r>
    </w:p>
    <w:p w14:paraId="25D37C1A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R-03 知识管理：支持个人/团队级知识库创建，支持文档导入、网页抓取、语义检索，智能体执行时自动调用相关知识，使智能体具备组织上下文，输出更贴合业务。</w:t>
      </w:r>
    </w:p>
    <w:p w14:paraId="6F74B061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R-04 任务编排：支持可视化任务流程配置，支持条件分支、失败重试、实时进度展示，复杂工作流可沉淀为模板，团队可复用。</w:t>
      </w:r>
    </w:p>
    <w:p w14:paraId="0038B8D7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R-05 内容生产：支持图文、视频脚本、播客稿等多格式内容生成，内置质量审核和敏感词过滤，一站式完成从选题到成稿。</w:t>
      </w:r>
    </w:p>
    <w:p w14:paraId="51F72D97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R-06 多渠道分发：对接外部CMS系统，支持文章入库、栏目映射、发布状态回查，减少人工搬运，发布效率提升。</w:t>
      </w:r>
    </w:p>
    <w:p w14:paraId="5E737D6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R-07 数据反馈：支持发布后数据回收（阅读量、互动率等），形成"生产→发布→分析→优化"闭环，用数据驱动内容策略迭代。</w:t>
      </w:r>
    </w:p>
    <w:p w14:paraId="1D1041B4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（四）部署要求</w:t>
      </w:r>
    </w:p>
    <w:p w14:paraId="51766506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DEP-01 容器化交付：所有服务模块以容器镜像形式交付，统一编排调度，确保开发、测试、生产环境一致性。</w:t>
      </w:r>
    </w:p>
    <w:p w14:paraId="7D5352C9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DEP-02 内网隔离部署：核心业务服务与数据库部署于内网，仅网关层暴露公网入口；AI推理服务与向量检索服务通过内网专线调用。</w:t>
      </w:r>
    </w:p>
    <w:p w14:paraId="39CD85AD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DEP-03 高可用冗余：关键服务采用主从/多副本部署，单节点故障时自动切换，业务无感知；数据库具备自动故障转移与定时备份能力。</w:t>
      </w:r>
    </w:p>
    <w:p w14:paraId="5622A12A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DEP-04 弹性伸缩：应用层支持基于负载指标的自动扩缩容，应对峰值流量；AI推理层支持按并发请求数动态调度推理实例。</w:t>
      </w:r>
    </w:p>
    <w:p w14:paraId="30CDD86E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DEP-05 无中断发布：生产环境支持滚动更新，发布过程可观测、可快速回滚。</w:t>
      </w:r>
    </w:p>
    <w:p w14:paraId="575078D1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DEP-06 日志与监控：全链路日志采集与集中存储，关键指标实时监控并配置告警阈值。</w:t>
      </w:r>
    </w:p>
    <w:p w14:paraId="006C7339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（五）测试要求</w:t>
      </w:r>
    </w:p>
    <w:p w14:paraId="497306C7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TST-01 功能测试：覆盖全部功能模块的核心业务流程，包括AI员工协作链路、内容生产全流程、CMS发布对接等关键路径，用例覆盖率不低于85%。</w:t>
      </w:r>
    </w:p>
    <w:p w14:paraId="4A02AC0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TST-02 性能测试：模拟峰值用户并发场景，验证响应时间、吞吐量与资源占用满足性能指标要求；长时运行（72小时）稳定性测试无内存泄漏与服务降级。</w:t>
      </w:r>
    </w:p>
    <w:p w14:paraId="7ECD4DD4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TST-03 安全测试：覆盖身份认证、权限隔离（多租户数据隔离）、输入校验、接口防篡改；敏感数据传输与存储加密合规。</w:t>
      </w:r>
    </w:p>
    <w:p w14:paraId="7E33C9DD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TST-04 兼容性测试：主流浏览器（Chrome、Firefox、Edge、Safari）最近两个大版本兼容；移动端自适应布局可用。</w:t>
      </w:r>
    </w:p>
    <w:p w14:paraId="253C02CB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TST-05 回归测试：每次迭代发布前执行自动化回归，确保已有功能不受影响。</w:t>
      </w:r>
    </w:p>
    <w:p w14:paraId="1264CB9D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（六）安全保障</w:t>
      </w:r>
    </w:p>
    <w:p w14:paraId="111B2D17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1.LLM对话安全</w:t>
      </w:r>
    </w:p>
    <w:p w14:paraId="7F5297BC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SEC-LLM-01：平台应对大模型输出内容进行实时安全过滤，拦截涉政、涉黄、涉暴等违规内容，确保输出符合内容安全规范，违规内容拦截率≥99%，误拦率≤1%。</w:t>
      </w:r>
    </w:p>
    <w:p w14:paraId="032BCD6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SEC-LLM-02：平台应具备提示词注入攻击防御能力，识别并阻断恶意构造的输入指令，注入攻击识别率≥98%，防御成功率≥99%。</w:t>
      </w:r>
    </w:p>
    <w:p w14:paraId="76C923C0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SEC-LLM-03：平台应对敏感话题关键词进行分级管控，支持按组织维度配置敏感词策略，敏感词库覆盖≥5000条，策略生效延迟≤5秒。</w:t>
      </w:r>
    </w:p>
    <w:p w14:paraId="713241A1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SEC-LLM-04：平台应记录所有AI对话的完整交互日志，支持事后追溯与审计，日志保留≥180天，查询响应≤3秒。</w:t>
      </w:r>
    </w:p>
    <w:p w14:paraId="73C695E1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2.Skills执行安全</w:t>
      </w:r>
    </w:p>
    <w:p w14:paraId="549415EA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SEC-SKILL-01：每个Skill应具备明确的权限边界声明，运行时仅能访问其声明的资源与接口，权限越界事件拦截率100%。</w:t>
      </w:r>
    </w:p>
    <w:p w14:paraId="448A1FCC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SEC-SKILL-02：平台应对Skill执行过程进行实时监控，异常行为（超时、资源超限、错误率飙升）自动熔断，熔断响应时间≤2秒，误熔断率≤0.5%。</w:t>
      </w:r>
    </w:p>
    <w:p w14:paraId="67BCE694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SEC-SKILL-03：平台应记录每个Skill的完整执行轨迹（调用链、输入输出、耗时），支持审计追踪，审计记录完整率100%，轨迹查询响应≤5秒。</w:t>
      </w:r>
    </w:p>
    <w:p w14:paraId="733ECC35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3.Skills上传安全</w:t>
      </w:r>
    </w:p>
    <w:p w14:paraId="0F12FBDE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SEC-UPLOAD-01：用户上传的Skill文件应经过恶意内容检测，包括代码注入、恶意脚本、隐藏指令等，恶意内容检出率≥99%。</w:t>
      </w:r>
    </w:p>
    <w:p w14:paraId="01FAAE4F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SEC-UPLOAD-02：平台应对上传文件进行格式校验、大小限制、类型白名单过滤，拒绝不合规文件，不合规文件拦截率100%。</w:t>
      </w:r>
    </w:p>
    <w:p w14:paraId="47C762E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SEC-UPLOAD-03：上传文件应在独立沙箱环境中完成解析与验证，隔离其对主系统的影响，沙箱逃逸防护率100%。</w:t>
      </w:r>
    </w:p>
    <w:p w14:paraId="28045F75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4.数据安全</w:t>
      </w:r>
    </w:p>
    <w:p w14:paraId="58A4A0B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SEC-DATA-01：平台应实现严格的多租户数据隔离，确保不同组织间的数据不可互访，隔离有效性验证通过率100%。</w:t>
      </w:r>
    </w:p>
    <w:p w14:paraId="18A386F8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SEC-DATA-02：平台所有数据传输应采用TLS 1.2及以上加密协议，静态存储敏感字段应加密，传输加密覆盖率100%。</w:t>
      </w:r>
    </w:p>
    <w:p w14:paraId="5C7DBEB4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SEC-DATA-03：平台应支持自动化数据备份，并具备在≤4小时内完成数据恢复的能力，备份成功率≥99.9%，RTO≤4h，RPO≤1h。</w:t>
      </w:r>
    </w:p>
    <w:p w14:paraId="3D97B649">
      <w:pPr>
        <w:spacing w:before="240" w:after="120" w:line="320" w:lineRule="auto"/>
      </w:pPr>
      <w:r>
        <w:rPr>
          <w:rFonts w:ascii="黑体" w:hAnsi="黑体" w:eastAsia="黑体" w:cs="黑体"/>
          <w:b/>
          <w:bCs/>
          <w:color w:val="000000"/>
          <w:sz w:val="18"/>
          <w:szCs w:val="18"/>
        </w:rPr>
        <w:t>5.访问安全</w:t>
      </w:r>
    </w:p>
    <w:p w14:paraId="65D12D1D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SEC-ACCESS-01：平台应提供统一的身份认证机制，支持邮箱密码登录及第三方OAuth接入，认证成功率≥99.9%。</w:t>
      </w:r>
    </w:p>
    <w:p w14:paraId="7E6C1F35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SEC-ACCESS-02：平台应实现基于角色的访问控制（RBAC），支持组织级、团队级、功能级三层层级权限管理，权限校验响应≤50ms。</w:t>
      </w:r>
    </w:p>
    <w:p w14:paraId="288F07D3">
      <w:pPr>
        <w:pStyle w:val="16"/>
        <w:numPr>
          <w:ilvl w:val="0"/>
          <w:numId w:val="1"/>
        </w:numPr>
        <w:spacing w:before="60" w:after="60" w:line="340" w:lineRule="auto"/>
        <w:ind w:left="420"/>
      </w:pPr>
      <w:r>
        <w:rPr>
          <w:rFonts w:ascii="仿宋_GB2312" w:hAnsi="仿宋_GB2312" w:eastAsia="仿宋_GB2312" w:cs="仿宋_GB2312"/>
          <w:color w:val="000000"/>
          <w:sz w:val="16"/>
          <w:szCs w:val="16"/>
        </w:rPr>
        <w:t>SEC-ACCESS-03：平台应记录所有用户操作日志（登录、数据访问、配置变更），支持按时间/用户/操作类型检索，操作审计覆盖率100%，日志保留≥180天。</w:t>
      </w:r>
    </w:p>
    <w:p w14:paraId="21E52085">
      <w:r>
        <w:br w:type="page"/>
      </w:r>
    </w:p>
    <w:p w14:paraId="7BD78FFD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三、功能指标</w:t>
      </w:r>
    </w:p>
    <w:p w14:paraId="46E5955B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（一）智能体协作指标</w:t>
      </w:r>
    </w:p>
    <w:p w14:paraId="2EF5349A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意图识别准确率≥92%，即用户对话意图被正确路由至对应技能的比例；单次对话响应时间≤3s（首字输出），即流式输出场景下首字延迟；多智能体协作成功率≥95%，含主智能体调度+子任务执行的端到端成功率；任务完成准确率≥85%，即生成内容无需人工大幅修改即可直接使用的比例；上下文记忆命中率≥80%，即智能体执行任务时成功调用相关知识库内容的比例；任务推送成功率≥99.8%，即主智能体分发任务到目标员工的成功率；通知送达率100%，即任务完成后实时通知的送达率。</w:t>
      </w:r>
    </w:p>
    <w:p w14:paraId="600A3D2F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（二）Skills平台指标</w:t>
      </w:r>
    </w:p>
    <w:p w14:paraId="48118FBB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内置技能覆盖数≥27个，涵盖选题、写作、审核、发布等全链路技能；工作流模板数≥27个，覆盖12大业务场景的预设模板；技能热加载时间≤5s，即新增或更新技能后生效时间；技能创建成功率（手动）≥99%，技能创建成功率（上传）≥95%；技能组合上限为10个技能串联，即单个工作流中技能组合的最大数量；CMS入库发布成功率≥99%，即文章从提交到CMS上线的端到端成功率；栏目同步准确率100%，即CMS栏目映射同步的准确率。</w:t>
      </w:r>
    </w:p>
    <w:p w14:paraId="3E5C172F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（三）部署运维指标</w:t>
      </w:r>
    </w:p>
    <w:p w14:paraId="7DA712D0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平台可用性≥99.9%（月度），不含计划维护窗口；页面加载时间≤2s，即核心页面首屏渲染时间；故障恢复时间（MTTR）≤30min，即从故障发现到服务恢复；定时任务执行准确率100%，即调度任务准时执行率；数据库迁移成功率100%，即Schema变更推送成功率。</w:t>
      </w:r>
    </w:p>
    <w:p w14:paraId="0A407007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（四）安全指标</w:t>
      </w:r>
    </w:p>
    <w:p w14:paraId="74799C84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敏感词拦截率≥99%，即内容发布前自动审核拦截违规内容；多租户数据泄露0次，即组织间数据严格隔离，无越权访问；权限校验覆盖率100%，即所有API和页面操作均经过角色权限校验；操作审计日志留存≥180天，即关键操作（发布、删除、权限变更）可追溯；恶意技能上传检测率≥99.9%，即用户上传技能的恶意内容检出率；LLM不当内容过滤率≥99.9%，即模型输出违规内容的拦截率；提示词攻击防御率≥99%，即Prompt注入攻击的防御成功率。</w:t>
      </w:r>
    </w:p>
    <w:p w14:paraId="2130BFAA">
      <w:r>
        <w:br w:type="page"/>
      </w:r>
    </w:p>
    <w:p w14:paraId="163F0D3B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四、性能指标</w:t>
      </w:r>
    </w:p>
    <w:p w14:paraId="65C988BD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（一）并发性能资源规划</w:t>
      </w:r>
    </w:p>
    <w:p w14:paraId="57EF666E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注：以下指标基于Qwen3-72B-Instruct模型（INT4量化需36GB显存）测算，单卡支持1并发请求。实际部署需预留30%冗余应对突发，建议采用混合云架构弹性应对峰值流量。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1125"/>
        <w:gridCol w:w="1125"/>
        <w:gridCol w:w="1125"/>
        <w:gridCol w:w="1125"/>
      </w:tblGrid>
      <w:tr w14:paraId="738D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511E4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指标维度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C7BD3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初期（100人）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1B1AB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中期（200人）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11FB6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成熟期（500人）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8D3D6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峰值（800人）</w:t>
            </w:r>
          </w:p>
        </w:tc>
      </w:tr>
      <w:tr w14:paraId="46967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E709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计算资源（CPU/内存）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C3B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8核16GB×2实例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60BB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8核16GB×4实例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AFC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16核32GB×8实例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6EE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16核32GB×16实例</w:t>
            </w:r>
          </w:p>
        </w:tc>
      </w:tr>
      <w:tr w14:paraId="6FF82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0D48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AI推理资源（GPU）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B84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A6000 48GB×8卡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923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A6000 48GB×15卡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E24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A6000 48GB×37卡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01A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A6000 48GB×59卡（含云弹性）</w:t>
            </w:r>
          </w:p>
        </w:tc>
      </w:tr>
      <w:tr w14:paraId="31DE0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38BD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存储资源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F80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200GB SSD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577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500GB SSD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231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1TB SSD+对象存储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A39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2TB SSD+对象存储</w:t>
            </w:r>
          </w:p>
        </w:tc>
      </w:tr>
      <w:tr w14:paraId="458CE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053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网络带宽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2ED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50Mbps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A46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100Mbps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094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200Mbps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AFE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500Mbps</w:t>
            </w:r>
          </w:p>
        </w:tc>
      </w:tr>
      <w:tr w14:paraId="0E5A7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300A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页面QPS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18B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≥30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FFF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≥60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7D7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≥150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976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≥250</w:t>
            </w:r>
          </w:p>
        </w:tc>
      </w:tr>
      <w:tr w14:paraId="249DF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0D91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API QPS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6CD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≥60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F7D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≥120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FC4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≥300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BE8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≥500</w:t>
            </w:r>
          </w:p>
        </w:tc>
      </w:tr>
      <w:tr w14:paraId="318C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1D3F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平均响应时间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C11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950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25C1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≤1.2s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589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≤1.5s</w:t>
            </w:r>
          </w:p>
        </w:tc>
      </w:tr>
    </w:tbl>
    <w:p w14:paraId="18E94C02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（二）系统稳定性指标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3"/>
        <w:gridCol w:w="2813"/>
      </w:tblGrid>
      <w:tr w14:paraId="2DC7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7EDAC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2961C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目标值</w:t>
            </w:r>
          </w:p>
        </w:tc>
      </w:tr>
      <w:tr w14:paraId="3D3D4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C9B4B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系统可用性（月度）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1D4F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≥99.9%</w:t>
            </w:r>
          </w:p>
        </w:tc>
      </w:tr>
      <w:tr w14:paraId="5B93A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97E6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单点故障恢复时间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D693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≤30秒（自动切换）</w:t>
            </w:r>
          </w:p>
        </w:tc>
      </w:tr>
      <w:tr w14:paraId="54BB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4E6CA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数据备份频率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A9C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每日全量+实时增量</w:t>
            </w:r>
          </w:p>
        </w:tc>
      </w:tr>
      <w:tr w14:paraId="1065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1CDD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数据恢复RTO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D10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≤1小时</w:t>
            </w:r>
          </w:p>
        </w:tc>
      </w:tr>
      <w:tr w14:paraId="6E48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9ECA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数据恢复RPO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E17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≤5分钟</w:t>
            </w:r>
          </w:p>
        </w:tc>
      </w:tr>
      <w:tr w14:paraId="10E6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745F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发布回滚时间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C69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≤10分钟</w:t>
            </w:r>
          </w:p>
        </w:tc>
      </w:tr>
      <w:tr w14:paraId="2F0AD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5E39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告警响应时间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D5BF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≤5分钟</w:t>
            </w:r>
          </w:p>
        </w:tc>
      </w:tr>
    </w:tbl>
    <w:p w14:paraId="6B053AE4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（三）数据处理性能指标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3"/>
        <w:gridCol w:w="2813"/>
      </w:tblGrid>
      <w:tr w14:paraId="61680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52AE3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24531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目标值</w:t>
            </w:r>
          </w:p>
        </w:tc>
      </w:tr>
      <w:tr w14:paraId="61147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D2C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向量检索响应（1024维）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653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≤300ms（Top-10召回）</w:t>
            </w:r>
          </w:p>
        </w:tc>
      </w:tr>
      <w:tr w14:paraId="012A2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6CEF4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AI内容生成首字延迟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E30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≤500ms（Qwen3-72B流式输出）</w:t>
            </w:r>
          </w:p>
        </w:tc>
      </w:tr>
      <w:tr w14:paraId="7516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CBFA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AI内容生成速度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012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≥20 tokens/s</w:t>
            </w:r>
          </w:p>
        </w:tc>
      </w:tr>
      <w:tr w14:paraId="26F4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C925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批量任务处理吞吐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7F2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≥30任务/分钟（GPU密集型）</w:t>
            </w:r>
          </w:p>
        </w:tc>
      </w:tr>
      <w:tr w14:paraId="51D1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8342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热榜数据抓取延迟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E4B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≤5分钟（从发布到入库）</w:t>
            </w:r>
          </w:p>
        </w:tc>
      </w:tr>
      <w:tr w14:paraId="0AE2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3299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CMS文章发布延迟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722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≤3分钟（从提交到上线）</w:t>
            </w:r>
          </w:p>
        </w:tc>
      </w:tr>
      <w:tr w14:paraId="2021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99AD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知识库文档向量化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29AF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≤60秒/篇（万字符级）</w:t>
            </w:r>
          </w:p>
        </w:tc>
      </w:tr>
    </w:tbl>
    <w:p w14:paraId="11CF3797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（四）低峰时间性能指标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3"/>
        <w:gridCol w:w="2813"/>
      </w:tblGrid>
      <w:tr w14:paraId="7FA3B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F46E1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指标项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E1957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目标值</w:t>
            </w:r>
          </w:p>
        </w:tc>
      </w:tr>
      <w:tr w14:paraId="7F6B0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F244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后半夜定时任务执行效率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A64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资源利用率≥80%</w:t>
            </w:r>
          </w:p>
        </w:tc>
      </w:tr>
      <w:tr w14:paraId="4270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8575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系统维护窗口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6FA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每月≤4小时，且需安排在非工作时间</w:t>
            </w:r>
          </w:p>
        </w:tc>
      </w:tr>
    </w:tbl>
    <w:p w14:paraId="5BAC0817">
      <w:r>
        <w:br w:type="page"/>
      </w:r>
    </w:p>
    <w:p w14:paraId="0D0EE105">
      <w:pPr>
        <w:pStyle w:val="3"/>
        <w:pBdr>
          <w:bottom w:val="single" w:color="1A56DB" w:sz="4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五、资源测算</w:t>
      </w:r>
    </w:p>
    <w:p w14:paraId="18F2DA1C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（一）模型选型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1125"/>
        <w:gridCol w:w="1125"/>
        <w:gridCol w:w="1125"/>
        <w:gridCol w:w="1125"/>
      </w:tblGrid>
      <w:tr w14:paraId="7C46D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5BF1E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模型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DCD71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参数规模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22C5D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显存需求（INT4）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F184C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推理速度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22E0C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流式延迟</w:t>
            </w:r>
          </w:p>
        </w:tc>
      </w:tr>
      <w:tr w14:paraId="218F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5DDB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Qwen3-72B-Instruct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4C76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72B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F85B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~36GB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CBB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~20 tokens/s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8CF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&lt;50ms</w:t>
            </w:r>
          </w:p>
        </w:tc>
      </w:tr>
      <w:tr w14:paraId="549D7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7345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DeepSeek-R1-67B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BE8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67B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2B1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~27GB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44DC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~25 tokens/s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A71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&lt;60ms</w:t>
            </w:r>
          </w:p>
        </w:tc>
      </w:tr>
    </w:tbl>
    <w:p w14:paraId="69AC8033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选型理由：Qwen3-72B-Instruct在推理质量和响应速度之间取得良好平衡，INT4量化后36GB显存需求可在A6000 48GB单卡运行，原生支持流式输出，满足实时交互需求，且为国产模型完全自主可控。</w:t>
      </w:r>
    </w:p>
    <w:p w14:paraId="78CF9880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（二）资源测算逻辑</w:t>
      </w:r>
    </w:p>
    <w:p w14:paraId="04595DD4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基础公式：单卡并发数 = 可用显存 / (模型显存 + KV缓存)。以A6000 48GB单卡为例，预留10%系统开销后可用43.2GB，Qwen3-72B INT4模型占36GB，KV缓存峰值8GB，合计44GB，因此单卡仅能支持1并发请求。</w:t>
      </w:r>
    </w:p>
    <w:p w14:paraId="09577FC8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（三）综合GPU需求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8"/>
        <w:gridCol w:w="938"/>
        <w:gridCol w:w="938"/>
        <w:gridCol w:w="938"/>
        <w:gridCol w:w="938"/>
        <w:gridCol w:w="938"/>
      </w:tblGrid>
      <w:tr w14:paraId="0A6D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852C1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阶段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6C175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日活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CE4D1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基础问答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60980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定时任务峰值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A1BE1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30%预留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A88F2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总计GPU</w:t>
            </w:r>
          </w:p>
        </w:tc>
      </w:tr>
      <w:tr w14:paraId="7AB47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1808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初期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2CA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100人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6096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AF4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64F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ADF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8卡</w:t>
            </w:r>
          </w:p>
        </w:tc>
      </w:tr>
      <w:tr w14:paraId="12885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3E4C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中期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1813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200人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D730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219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DC7E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D5D8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15卡</w:t>
            </w:r>
          </w:p>
        </w:tc>
      </w:tr>
      <w:tr w14:paraId="6477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FEC8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成熟期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DFE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500人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B9D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93B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25卡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ADA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9卡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476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37卡</w:t>
            </w:r>
          </w:p>
        </w:tc>
      </w:tr>
      <w:tr w14:paraId="766C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E548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峰值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2D3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800人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D225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CFBD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40卡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DDB2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14卡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19B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59卡</w:t>
            </w:r>
          </w:p>
        </w:tc>
      </w:tr>
    </w:tbl>
    <w:p w14:paraId="6FF8E95B">
      <w:pPr>
        <w:spacing w:before="120" w:after="120" w:line="360" w:lineRule="auto"/>
        <w:ind w:firstLine="420"/>
        <w:jc w:val="left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说明：当前2张A6000可满足初期需求，中期需新增6张A6000，成熟期需37卡以上支撑，建议采用混合云架构弹性应对峰值流量。</w:t>
      </w:r>
    </w:p>
    <w:p w14:paraId="150C09C3">
      <w:pPr>
        <w:pStyle w:val="4"/>
        <w:spacing w:before="360" w:after="180" w:line="340" w:lineRule="auto"/>
      </w:pPr>
      <w:r>
        <w:rPr>
          <w:rFonts w:ascii="黑体" w:hAnsi="黑体" w:eastAsia="黑体" w:cs="黑体"/>
          <w:b/>
          <w:bCs/>
          <w:color w:val="000000"/>
          <w:sz w:val="20"/>
          <w:szCs w:val="20"/>
        </w:rPr>
        <w:t>（四）成本估算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7"/>
        <w:gridCol w:w="1407"/>
        <w:gridCol w:w="1407"/>
        <w:gridCol w:w="1407"/>
      </w:tblGrid>
      <w:tr w14:paraId="049D2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F3E0A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配置项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FE13B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单价（元）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5ED59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数量</w:t>
            </w:r>
          </w:p>
        </w:tc>
        <w:tc>
          <w:tcPr>
            <w:shd w:val="solid" w:color="1E3A5F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497C7">
            <w:pPr>
              <w:jc w:val="center"/>
            </w:pPr>
            <w:r>
              <w:rPr>
                <w:rFonts w:ascii="仿宋_GB2312" w:hAnsi="仿宋_GB2312" w:eastAsia="仿宋_GB2312" w:cs="仿宋_GB2312"/>
                <w:b/>
                <w:bCs/>
                <w:color w:val="FFFFFF"/>
                <w:sz w:val="15"/>
                <w:szCs w:val="15"/>
              </w:rPr>
              <w:t>小计（元）</w:t>
            </w:r>
          </w:p>
        </w:tc>
      </w:tr>
      <w:tr w14:paraId="1B2A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D3E3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A6000 48GB显卡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76E7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45,000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A72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37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11BA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1,665,000</w:t>
            </w:r>
          </w:p>
        </w:tc>
      </w:tr>
      <w:tr w14:paraId="160F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35CC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GPU服务器（4卡）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8E7B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200,000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6B46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841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2,000,000</w:t>
            </w:r>
          </w:p>
        </w:tc>
      </w:tr>
      <w:tr w14:paraId="29D85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22EE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网络存储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F854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100,000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4683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</w:t>
            </w:r>
          </w:p>
        </w:tc>
        <w:tc>
          <w:tcPr>
            <w:shd w:val="solid" w:color="F5F5F5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EAA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100,000</w:t>
            </w:r>
          </w:p>
        </w:tc>
      </w:tr>
      <w:tr w14:paraId="674FB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210E">
            <w:pPr>
              <w:spacing w:line="320" w:lineRule="auto"/>
              <w:jc w:val="left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总计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C2F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-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EDD5D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-</w:t>
            </w:r>
          </w:p>
        </w:tc>
        <w:tc>
          <w:tcPr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B389">
            <w:pPr>
              <w:spacing w:line="320" w:lineRule="auto"/>
              <w:jc w:val="center"/>
            </w:pPr>
            <w:r>
              <w:rPr>
                <w:rFonts w:ascii="仿宋_GB2312" w:hAnsi="仿宋_GB2312" w:eastAsia="仿宋_GB2312" w:cs="仿宋_GB2312"/>
                <w:color w:val="000000"/>
                <w:sz w:val="15"/>
                <w:szCs w:val="15"/>
              </w:rPr>
              <w:t>3,765,000</w:t>
            </w:r>
          </w:p>
        </w:tc>
      </w:tr>
    </w:tbl>
    <w:p w14:paraId="7D233087">
      <w:r>
        <w:br w:type="page"/>
      </w:r>
    </w:p>
    <w:p w14:paraId="3134CC99">
      <w:pPr>
        <w:spacing w:before="120" w:after="120" w:line="360" w:lineRule="auto"/>
        <w:jc w:val="center"/>
      </w:pPr>
      <w:r>
        <w:rPr>
          <w:rFonts w:ascii="仿宋_GB2312" w:hAnsi="仿宋_GB2312" w:eastAsia="仿宋_GB2312" w:cs="仿宋_GB2312"/>
          <w:b w:val="0"/>
          <w:bCs w:val="0"/>
          <w:color w:val="000000"/>
          <w:sz w:val="16"/>
          <w:szCs w:val="16"/>
        </w:rPr>
        <w:t>文档结束</w:t>
      </w:r>
      <w:bookmarkStart w:id="0" w:name="_GoBack"/>
      <w:bookmarkEnd w:id="0"/>
    </w:p>
    <w:sectPr>
      <w:pgSz w:w="11906" w:h="16838"/>
      <w:pgMar w:top="2160" w:right="2880" w:bottom="2160" w:left="36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3E69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_GB2312" w:hAnsi="仿宋_GB2312" w:eastAsia="仿宋_GB2312" w:cs="仿宋_GB231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仿宋_GB2312" w:eastAsia="仿宋_GB2312" w:cs="仿宋_GB2312"/>
      <w:color w:val="000000"/>
      <w:sz w:val="16"/>
      <w:szCs w:val="16"/>
    </w:rPr>
  </w:style>
  <w:style w:type="paragraph" w:styleId="2">
    <w:name w:val="heading 1"/>
    <w:next w:val="1"/>
    <w:qFormat/>
    <w:uiPriority w:val="0"/>
    <w:rPr>
      <w:rFonts w:ascii="仿宋_GB2312" w:hAnsi="仿宋_GB2312" w:eastAsia="仿宋_GB2312" w:cs="仿宋_GB2312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仿宋_GB2312" w:hAnsi="仿宋_GB2312" w:eastAsia="仿宋_GB2312" w:cs="仿宋_GB2312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仿宋_GB2312" w:hAnsi="仿宋_GB2312" w:eastAsia="仿宋_GB2312" w:cs="仿宋_GB2312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仿宋_GB2312" w:hAnsi="仿宋_GB2312" w:eastAsia="仿宋_GB2312" w:cs="仿宋_GB2312"/>
      <w:i/>
      <w:iCs/>
      <w:color w:val="2E74B5"/>
      <w:sz w:val="16"/>
      <w:szCs w:val="16"/>
    </w:rPr>
  </w:style>
  <w:style w:type="paragraph" w:styleId="6">
    <w:name w:val="heading 5"/>
    <w:next w:val="1"/>
    <w:qFormat/>
    <w:uiPriority w:val="0"/>
    <w:rPr>
      <w:rFonts w:ascii="仿宋_GB2312" w:hAnsi="仿宋_GB2312" w:eastAsia="仿宋_GB2312" w:cs="仿宋_GB2312"/>
      <w:color w:val="2E74B5"/>
      <w:sz w:val="16"/>
      <w:szCs w:val="16"/>
    </w:rPr>
  </w:style>
  <w:style w:type="paragraph" w:styleId="7">
    <w:name w:val="heading 6"/>
    <w:next w:val="1"/>
    <w:qFormat/>
    <w:uiPriority w:val="0"/>
    <w:rPr>
      <w:rFonts w:ascii="仿宋_GB2312" w:hAnsi="仿宋_GB2312" w:eastAsia="仿宋_GB2312" w:cs="仿宋_GB2312"/>
      <w:color w:val="1F4D78"/>
      <w:sz w:val="16"/>
      <w:szCs w:val="16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仿宋_GB2312" w:hAnsi="仿宋_GB2312" w:eastAsia="仿宋_GB2312" w:cs="仿宋_GB2312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仿宋_GB2312" w:hAnsi="仿宋_GB2312" w:eastAsia="仿宋_GB2312" w:cs="仿宋_GB2312"/>
      <w:color w:val="000000"/>
      <w:sz w:val="20"/>
      <w:szCs w:val="20"/>
    </w:rPr>
  </w:style>
  <w:style w:type="paragraph" w:styleId="10">
    <w:name w:val="Title"/>
    <w:qFormat/>
    <w:uiPriority w:val="0"/>
    <w:rPr>
      <w:rFonts w:ascii="仿宋_GB2312" w:hAnsi="仿宋_GB2312" w:eastAsia="仿宋_GB2312" w:cs="仿宋_GB2312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仿宋_GB2312" w:hAnsi="仿宋_GB2312" w:eastAsia="仿宋_GB2312" w:cs="仿宋_GB2312"/>
      <w:color w:val="000000"/>
      <w:sz w:val="16"/>
      <w:szCs w:val="16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4997</Words>
  <Characters>5975</Characters>
  <TotalTime>10</TotalTime>
  <ScaleCrop>false</ScaleCrop>
  <LinksUpToDate>false</LinksUpToDate>
  <CharactersWithSpaces>6029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2026-05-14T09:21:00Z</dcterms:created>
  <dc:creator>Un-named</dc:creator>
  <cp:lastModifiedBy>wzh</cp:lastModifiedBy>
  <dcterms:modified xsi:type="dcterms:W3CDTF">2026-05-14T09:32:34Z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eyJoZGlkIjoiODljZjRjOTY0NWFiZmEwOGE2YjE3ZWRmMDJmYjIzZjMifQ==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EEB8E303DB4644BDA557F53165392D9F_12</vt:lpwstr>
  </property>
</Properties>
</file>