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00"/>
            </w:pPr>
          </w:p>
          <w:p>
            <w:pPr>
              <w:spacing w:after="400"/>
              <w:jc w:val="center"/>
            </w:pPr>
            <w:r>
              <w:rPr>
                <w:rFonts w:ascii="Times New Roman" w:eastAsia="SimSun"/>
                <w:spacing w:val="40"/>
                <w:sz w:val="44"/>
                <w:szCs w:val="44"/>
              </w:rPr>
              <w:t xml:space="preserve">沈阳药科大学</w:t>
            </w:r>
          </w:p>
          <w:p>
            <w:pPr>
              <w:spacing w:after="120"/>
              <w:jc w:val="center"/>
            </w:pPr>
            <w:r>
              <w:rPr>
                <w:rFonts w:ascii="Times New Roman" w:eastAsia="SimHei"/>
                <w:b/>
                <w:bCs/>
                <w:sz w:val="60"/>
                <w:szCs w:val="60"/>
              </w:rPr>
              <w:t xml:space="preserve">抗MASH冷门候选药</w:t>
            </w:r>
          </w:p>
          <w:p>
            <w:pPr>
              <w:spacing w:after="300"/>
              <w:jc w:val="center"/>
            </w:pPr>
            <w:r>
              <w:rPr>
                <w:rFonts w:ascii="Times New Roman" w:eastAsia="SimHei"/>
                <w:b/>
                <w:bCs/>
                <w:sz w:val="60"/>
                <w:szCs w:val="60"/>
              </w:rPr>
              <w:t xml:space="preserve">多靶点深度研究汇报</w:t>
            </w:r>
          </w:p>
          <w:p>
            <w:pPr>
              <w:spacing w:after="200"/>
              <w:jc w:val="center"/>
            </w:pPr>
            <w:r>
              <w:rPr>
                <w:rFonts w:ascii="Times New Roman" w:eastAsia="SimSun"/>
                <w:sz w:val="30"/>
                <w:szCs w:val="30"/>
              </w:rPr>
              <w:t xml:space="preserve">73.9万库 · 多靶点配体 · 文献核证新颖性 · SCI定位</w:t>
            </w:r>
          </w:p>
          <w:p>
            <w:pPr>
              <w:spacing w:before="1400"/>
            </w:pPr>
          </w:p>
          <w:tbl>
            <w:tblPr>
              <w:tblW w:type="pct" w:w="62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项目：</w:t>
                  </w:r>
                </w:p>
              </w:tc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基于贝叶斯图神经网络的抗MASH天然药物筛选（大创）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阶段：</w:t>
                  </w:r>
                </w:p>
              </w:tc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候选药深度研究（第三版汇报）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日期：</w:t>
                  </w:r>
                </w:p>
              </w:tc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2026年8月</w:t>
                  </w:r>
                </w:p>
              </w:tc>
            </w:tr>
          </w:tbl>
          <w:p>
            <w:pPr>
              <w:spacing w:before="3400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4"/>
                <w:szCs w:val="24"/>
              </w:rPr>
              <w:t xml:space="preserve">2026年8月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一、定位：以候选药为中心的多靶点深度研究</w:t>
      </w:r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按新指令调整：靶点创新不作为卖点，汇报主角为候选药本身；分析框架从单靶点升级为多靶点（polypharmacology）——MASH为多因素疾病，同时作用于脂合成(ACC/FASN/DGAT2/SCD/HMGCR/SQLE/FDFT1)、核受体(FXR/THRβ/PPARγ/LXRα)两类11个肝相关靶点的配体在机制上对应“代谢-炎症多点协同”的治疗逻辑。目标强度：支撑SCI论文（新颖性已逐条文献核查）。</w:t>
      </w:r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证据链：73.9万天然库(COCONUT全库)→11靶点QSAR(ChEMBL 9,195化合物训练，检验Spearman 0.69-0.89)→多靶点配体识别→PAINS/ADMET/已知药排除→三受体对接三角(重对接验证RMSD&lt;2Å的FXR/THRβ/ACC结构)→逐化合物文献新颖性核查(PubChem/PubMed实测)。</w:t>
      </w: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二、多靶点深度筛选结果</w:t>
      </w:r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全库共80,698个分子同时预测活性(pAct≥6.5≈≤300nM)于≥3个靶点。诚实分层：MTS榜首多为渗入COCONUT集合的合成库化合物(STL编号/无物种来源)与已知药(如罗氏PPARγ激动剂Inolitazone)——按“天然+冷门+新颖”标准全部剔除。天然多靶点领袖如下：</w:t>
      </w:r>
    </w:p>
    <w:p>
      <w:pPr>
        <w:keepNext/>
        <w:spacing w:after="70" w:before="110"/>
        <w:jc w:val="center"/>
      </w:pPr>
      <w:r>
        <w:rPr>
          <w:b/>
          <w:bCs/>
          <w:color w:val="506070"/>
          <w:sz w:val="20"/>
          <w:szCs w:val="20"/>
        </w:rPr>
        <w:t xml:space="preserve">表1  天然多靶点领袖（≥5靶点，对接单位kcal/mol）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候选</w:t>
            </w:r>
          </w:p>
        </w:tc>
        <w:tc>
          <w:tcPr>
            <w:tcW w:type="pct" w:w="26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来源生物</w:t>
            </w:r>
          </w:p>
        </w:tc>
        <w:tc>
          <w:tcPr>
            <w:tcW w:type="pct" w:w="7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n靶</w:t>
            </w:r>
          </w:p>
        </w:tc>
        <w:tc>
          <w:tcPr>
            <w:tcW w:type="pct" w:w="10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MTS</w:t>
            </w:r>
          </w:p>
        </w:tc>
        <w:tc>
          <w:tcPr>
            <w:tcW w:type="pct" w:w="13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dG_FXR</w:t>
            </w:r>
          </w:p>
        </w:tc>
        <w:tc>
          <w:tcPr>
            <w:tcW w:type="pct" w:w="12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dG_ACC</w:t>
            </w:r>
          </w:p>
        </w:tc>
        <w:tc>
          <w:tcPr>
            <w:tcW w:type="pct" w:w="12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dG_THRβ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Antrocinnamomin F</w:t>
            </w:r>
          </w:p>
        </w:tc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牛樟芝 Antrodia cinnamomea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5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34.4</w:t>
            </w:r>
          </w:p>
        </w:tc>
        <w:tc>
          <w:tcPr>
            <w:tcW w:type="pct" w:w="13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-8.01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-8.93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-8.94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Butyrolactone VI</w:t>
            </w:r>
          </w:p>
        </w:tc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土曲霉 A. terreus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5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35.6</w:t>
            </w:r>
          </w:p>
        </w:tc>
        <w:tc>
          <w:tcPr>
            <w:tcW w:type="pct" w:w="13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-7.90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-8.47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-5.48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Aspernolide D(同源)</w:t>
            </w:r>
          </w:p>
        </w:tc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土曲霉 A. terreus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5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35.6</w:t>
            </w:r>
          </w:p>
        </w:tc>
        <w:tc>
          <w:tcPr>
            <w:tcW w:type="pct" w:w="13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-8.63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-8.97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-6.06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Varioxiranol G</w:t>
            </w:r>
          </w:p>
        </w:tc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Emericella variecolor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5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37.1</w:t>
            </w:r>
          </w:p>
        </w:tc>
        <w:tc>
          <w:tcPr>
            <w:tcW w:type="pct" w:w="13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-4.45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-8.94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失效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CADIOLIDE G</w:t>
            </w:r>
          </w:p>
        </w:tc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被囊动物 Synoicum sp.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5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35.5</w:t>
            </w:r>
          </w:p>
        </w:tc>
        <w:tc>
          <w:tcPr>
            <w:tcW w:type="pct" w:w="13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—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—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—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阳性对照锚点：GW4064(FXR)=-9.70、ND-646(ACC)=-10.52、resmetirom(THRβ)=-10.11。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Antrocinnamomin F为唯一“5靶QSAR+三受体对接全≤-8”的天然配体，且其来源药材已有NASH小样本临床证据（两条独立计算路线收敛）。</w:t>
      </w: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三、主打候选药（文献新颖性逐条核查后）</w:t>
      </w:r>
    </w:p>
    <w:p>
      <w:pPr>
        <w:keepNext/>
        <w:spacing w:after="70" w:before="110"/>
        <w:jc w:val="center"/>
      </w:pPr>
      <w:r>
        <w:rPr>
          <w:b/>
          <w:bCs/>
          <w:color w:val="506070"/>
          <w:sz w:val="20"/>
          <w:szCs w:val="20"/>
        </w:rPr>
        <w:t xml:space="preserve">表2  主打候选组合（新颖性分级：A=零肝病报道 B=机制间接相关 C=已有报道）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顺位</w:t>
            </w:r>
          </w:p>
        </w:tc>
        <w:tc>
          <w:tcPr>
            <w:tcW w:type="pct" w:w="20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候选</w:t>
            </w:r>
          </w:p>
        </w:tc>
        <w:tc>
          <w:tcPr>
            <w:tcW w:type="pct" w:w="10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新颖性</w:t>
            </w:r>
          </w:p>
        </w:tc>
        <w:tc>
          <w:tcPr>
            <w:tcW w:type="pct" w:w="44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核心证据</w:t>
            </w:r>
          </w:p>
        </w:tc>
        <w:tc>
          <w:tcPr>
            <w:tcW w:type="pct" w:w="20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可获取性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Alternaramide（海洋Alternaria环五肽）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A/B</w:t>
            </w:r>
          </w:p>
        </w:tc>
        <w:tc>
          <w:tcPr>
            <w:tcW w:type="pct" w:w="4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零肝病报道；已有TLR4-MyD88/NF-κB抗炎机制文献(PMID 26620692)——恰为MASH炎症核心通路；QSAR 6.67+FXR -6.5/ACC -8.3对接；无细胞毒报道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菌株可发酵放大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Versicolamide B（A. versicolor预吲哚生物碱）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A(本体)</w:t>
            </w:r>
          </w:p>
        </w:tc>
        <w:tc>
          <w:tcPr>
            <w:tcW w:type="pct" w:w="4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代谢性肝病零报道；同家族notoamide Q有肝缺血再灌注保护先例(PMID 37560942)可正面引用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已有不对称全合成(Nat Chem 2009)，稀有真菌代谢物中最佳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3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Antrocinnamomin F / antrodin群（樟芝）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C(对照升格)</w:t>
            </w:r>
          </w:p>
        </w:tc>
        <w:tc>
          <w:tcPr>
            <w:tcW w:type="pct" w:w="4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多靶点+三受体三角最强；来源有NASH临床RCT(PMID 32657670)与AMPK/SREBP机制(PMID 28161992)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菌丝体发酵+标样可购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4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Butyrolactone VI / Aspernolide D（土曲霉丁内酯）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A(待核)</w:t>
            </w:r>
          </w:p>
        </w:tc>
        <w:tc>
          <w:tcPr>
            <w:tcW w:type="pct" w:w="4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5靶QSAR+双受体对接强；丁内酯类已知为PKA抑制剂/抗生素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土曲霉极易发酵</w:t>
            </w:r>
          </w:p>
        </w:tc>
      </w:tr>
    </w:tbl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退位说明（审稿风险如实管理）：Epinardin C/Merulin B/C有强细胞毒或反应性内过氧化物记录、Alisiaquinol深水海绵来源难再获取、Aspergicin存在结构修订论文撤稿争议——全部降为筛选命中列表成员，正文如实报告细胞毒数据。</w:t>
      </w: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四、SCI故事线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题（拟）：Marine and endophytic fungal natural products as multi-target ligands for MASH: a 738k-compound polypharmacology screen with literature-verified novelty。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创新点三重：①规模与方法（73.9万天然库+11靶点多靶点框架+QSAR/对接/文献三角）；②候选新颖性（Alternaramide/Versicolamide B零肝病报道，机制衔接文献已存在）；③多靶点证据（5靶同时≥6.5的天然配体谱+三受体构象验证）。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目标期刊档位：Marine Drugs / J Nat Prod（发现导向）或 Front Pharmacol / Pharm Biol（机制导向）；若Alternaramide细胞实验阳性可冲 Bioorg Chem / Biomed Pharmacother。</w:t>
      </w: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五、验证计划（湿实验，SCI支撑所需最低配置）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阶段1（0-3月）：Alternaramide/Versicolamide B/Butyrolactone VI/樟芝群——HepG2+Hepa1-6棕榈酸脂变模型，BODIPY/TG+活力双读出；hit=TG≥30%↓且活力≥80%@≤10μM；同步CCK-8安全窗(≥20μM无毒性)。阳性对照antcin K/AICAR。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阶段2（3-6月）：机制——Alternaramide做TLR4/NF-κB报告基因+ western(p-p65/IκBα)；多靶点候选做FXR/THRβ/PPARγ报告基因谱（对应QSAR预测靶谱逐一验证→论文核心图）。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阶段3（6-12月）：AMLN小鼠12周+4周给药(n=8)，NAS评分+油红O+qPCR；Alternaramide为首选推进分子。</w:t>
      </w: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六、可信度与边界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QSAR外推限制（天然产物空间排序能力未经充分证明）→已用多模型一致+对接+文献三角对冲，单一QSAR分数不作结论。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对接系统偏差（甾体/大环打分偏低或失效）已在表中如实标注“失效”项。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Butyrolactone家族为已知PKA抑制剂的提示将在论文中作为机制讨论点而非隐瞒项。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抗MASH候选药·多靶点深度研究汇报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/>
        <w:color w:val="18203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2026-08-18T02:39:28.338Z</dcterms:created>
  <dcterms:modified xsi:type="dcterms:W3CDTF">2026-08-18T02:39:28.339Z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