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00"/>
            </w:pPr>
          </w:p>
          <w:p>
            <w:pPr>
              <w:spacing w:after="400"/>
              <w:jc w:val="center"/>
            </w:pPr>
            <w:r>
              <w:rPr>
                <w:rFonts w:ascii="Times New Roman" w:eastAsia="SimSun"/>
                <w:spacing w:val="40"/>
                <w:sz w:val="44"/>
                <w:szCs w:val="44"/>
              </w:rPr>
              <w:t xml:space="preserve">沈阳药科大学</w:t>
            </w:r>
          </w:p>
          <w:p>
            <w:pPr>
              <w:spacing w:after="120"/>
              <w:jc w:val="center"/>
            </w:pPr>
            <w:r>
              <w:rPr>
                <w:rFonts w:ascii="Times New Roman" w:eastAsia="SimHei"/>
                <w:b/>
                <w:bCs/>
                <w:sz w:val="60"/>
                <w:szCs w:val="60"/>
              </w:rPr>
              <w:t xml:space="preserve">抗MASH冷门药物筛选</w:t>
            </w:r>
          </w:p>
          <w:p>
            <w:pPr>
              <w:spacing w:after="300"/>
              <w:jc w:val="center"/>
            </w:pPr>
            <w:r>
              <w:rPr>
                <w:rFonts w:ascii="Times New Roman" w:eastAsia="SimHei"/>
                <w:b/>
                <w:bCs/>
                <w:sz w:val="60"/>
                <w:szCs w:val="60"/>
              </w:rPr>
              <w:t xml:space="preserve">新方向进展汇报</w:t>
            </w:r>
          </w:p>
          <w:p>
            <w:pPr>
              <w:spacing w:after="200"/>
              <w:jc w:val="center"/>
            </w:pPr>
            <w:r>
              <w:rPr>
                <w:rFonts w:ascii="Times New Roman" w:eastAsia="SimSun"/>
                <w:sz w:val="30"/>
                <w:szCs w:val="30"/>
              </w:rPr>
              <w:t xml:space="preserve">靶点创新组合 · 73.9万分子库 · 冷门候选到湿实验方案</w:t>
            </w:r>
          </w:p>
          <w:p>
            <w:pPr>
              <w:spacing w:before="1400"/>
            </w:pPr>
          </w:p>
          <w:tbl>
            <w:tblPr>
              <w:tblW w:type="pct" w:w="62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基于贝叶斯图神经网络的抗MASH天然药物筛选（大创）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汇报期间：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2026年8月（新方向阶段）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文档性质：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进展汇报</w:t>
                  </w:r>
                </w:p>
              </w:tc>
            </w:tr>
          </w:tbl>
          <w:p>
            <w:pPr>
              <w:spacing w:before="3400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4"/>
                <w:szCs w:val="24"/>
              </w:rPr>
              <w:t xml:space="preserve">2026年8月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一、任务定位与方法学框架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本阶段任务：脱离原有申报书方法（单靶点FXR主锚+10味药限定），从课题本质出发——找到新颖的抗MASH药物。靶点本身也是创新对象，不做单一锁定，以“遗传机会靶点+新范式靶点+疾病模块可成药枢纽”组成并行靶点组合；化合物空间放开为全部天然产物（73.9万分子起步）。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方法学八步（顶刊逻辑，全部真实数据）：①遗传学锚靶（GWAS Catalog+Open Targets实测）→ ②疾病模块（216例肝活检共表达分析）→ ③超大天然库（COCONUT全库738,823分子）→ ④11肝靶点多靶点QSAR（ChEMBL 9,195化合物训练）→ ⑤冷门来源+ADMET+新颖性过滤 → ⑥综合分排名 → ⑦分子对接三角验证 → ⑧湿实验方案。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二、已完成进展总览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表1  新方向八步执行状态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步骤</w:t>
            </w:r>
          </w:p>
        </w:tc>
        <w:tc>
          <w:tcPr>
            <w:tcW w:type="pct" w:w="6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内容</w:t>
            </w:r>
          </w:p>
        </w:tc>
        <w:tc>
          <w:tcPr>
            <w:tcW w:type="pct" w:w="28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①遗传锚靶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GWAS Catalog Solr管道96研究797关联+OpenTargets v4全量拉取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②疾病模块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GSE135251(n=216)共表达：纤维化模块(r=0.58)/脂滴模块/胆固醇合成模块，45个hub基因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③超大库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COCONUT 2026-08(248MB)→去重去无效→738,823分子，27.4万带物种溯源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④多靶点QSAR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11靶点9,195化合物；检验Spearman：THRβ 0.89/LXRα 0.85/PPARγ 0.83/SCD 0.69；全库打分完成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⑤⑥过滤排名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NP耐受ADMET+冷门物种计分(排除30名药属/已知药)+综合分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完成(TOP500)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⑦对接三角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TOP12于FXR/THRβ/ACC三受体交叉对接(重对接验证过的结构)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⑧湿实验方案</w:t>
            </w:r>
          </w:p>
        </w:tc>
        <w:tc>
          <w:tcPr>
            <w:tcW w:type="pct" w:w="6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细胞→酶学→动物三级方案(见第五节)</w:t>
            </w:r>
          </w:p>
        </w:tc>
        <w:tc>
          <w:tcPr>
            <w:tcW w:type="pct" w:w="2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已拟定</w:t>
            </w:r>
          </w:p>
        </w:tc>
      </w:tr>
    </w:tbl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三、靶点创新组合（不锁定单靶点，三线并行）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按“一切皆可重来，只要求新颖有效”的原则，靶点层组合如下——三者互补，任何一条线出hit即成立：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表2  靶点组合与新颖性评估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线</w:t>
            </w:r>
          </w:p>
        </w:tc>
        <w:tc>
          <w:tcPr>
            <w:tcW w:type="pct" w:w="3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靶点</w:t>
            </w:r>
          </w:p>
        </w:tc>
        <w:tc>
          <w:tcPr>
            <w:tcW w:type="pct" w:w="4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证据与新颖性</w:t>
            </w:r>
          </w:p>
        </w:tc>
        <w:tc>
          <w:tcPr>
            <w:tcW w:type="pct" w:w="1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拥挤度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 遗传机会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MARC1(p=1e-43,OT遗传0.818,有配体结构)；TM6SF2(3e-83)；SLC39A8(1e-133)；SERPINA1(CIR遗传0.902)；GCKR/MBOAT7/SUGP1/FARSB/SAMM50/CMIP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GWAS多性状验证+零在研药物（PNPLA3已被AZ的ASO占位、HSD17B13被GSK/Alnylam三家挤满，均降权）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空白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 新范式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CerS6(神经酰胺合酶6)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Science 2025(PMID 40310917)：肠道真菌Fusarium foetens代谢物FF-C1直接抑制CerS6逆转小鼠MASH——天然真菌代谢物+全新靶点的完整先例；抑制剂几乎空白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极低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C 疾病模块</w:t>
            </w:r>
          </w:p>
        </w:tc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胆固醇合成模块hub(SQLE/FDFT1，r_NAS=0.24)；纤维化模块hub(MMP2/THY1/MFAP4)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源自本项目216例共表达分析；SQLE/FDFT1无上市降肝脂药(statins占据HMGCR)；纤维化hub为MASH关键终点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低-中</w:t>
            </w:r>
          </w:p>
        </w:tc>
      </w:tr>
    </w:tbl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说明：A线由人类遗传学背书（最不易翻车），B线由顶刊动物药效背书（机制最新），C线由本队自有数据背书（可独立叙事）。三线共用同一化合物库与筛选管线。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四、冷门候选筛选结果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73.9万分子→QSAR+ADMET+冷门过滤→TOP500→TOP12对接三角验证。首批三首选（全部冷门来源、多证据一致）：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表3  首选湿实验候选（对接单位kcal/mol）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候选</w:t>
            </w:r>
          </w:p>
        </w:tc>
        <w:tc>
          <w:tcPr>
            <w:tcW w:type="pct" w:w="26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来源</w:t>
            </w:r>
          </w:p>
        </w:tc>
        <w:tc>
          <w:tcPr>
            <w:tcW w:type="pct" w:w="1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QSAR-top3</w:t>
            </w:r>
          </w:p>
        </w:tc>
        <w:tc>
          <w:tcPr>
            <w:tcW w:type="pct" w:w="13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FXR</w:t>
            </w:r>
          </w:p>
        </w:tc>
        <w:tc>
          <w:tcPr>
            <w:tcW w:type="pct" w:w="13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ACC</w:t>
            </w:r>
          </w:p>
        </w:tc>
        <w:tc>
          <w:tcPr>
            <w:tcW w:type="pct" w:w="1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THRβ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07H239-A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炭角菌内生真菌(Xylariaceae)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7.39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-8.06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-9.00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-8.04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Alisiaquinol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未鉴定海绵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7.39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-7.10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-9.85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-5.80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Aspergicin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海洋红树林内生曲霉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6.83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-8.09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-9.42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-3.24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樟芝antrodin群(对照)</w:t>
            </w:r>
          </w:p>
        </w:tc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牛樟芝(台湾真菌)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7.2-7.6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-8.5~-10.6(文献交叉)</w:t>
            </w:r>
          </w:p>
        </w:tc>
        <w:tc>
          <w:tcPr>
            <w:tcW w:type="pct" w:w="13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强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0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失效(甾体)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阳性对照锚点：GW4064在FXR=-9.70、ND-646在ACC=-10.52、resmetirom在THRβ=-10.11——候选分数与已知活性药同量级。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交叉验证发现：樟芝antrodin群在本轮73.9万库筛选中独立重现（与上一轮文献锚定路线收敛），升格为稳健对照组。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其余TOP冷门来源：内生真菌(Merulin/Xylarenone/Pleosporone)、海洋放线菌氯化色烯、大型藻、海绵生物碱(共40个，见shortlist_top500.csv)。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局限如实声明：QSAR在天然产物空间的外推可靠性有限（前期已自检），故排名主证据为冷门文献+多模型一致性，QSAR仅作排序器；对接对大环/甾体骨架存在系统偏差已标注。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五、湿实验方案（摘要）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阶段1 细胞初筛：HepG2/Hepa1-6棕榈酸脂变模型，TOP40四点浓度(0.1-30μM)；BODIPY/TG定量+CellTiter-Glo活力；Hit标准=TG降≥30%且活力≥80%@≤10μM；阳性对照AICAR/小檗碱/lovastatin。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阶段2 机制归属：MARC1重组酶活(NADH 340nm)；CerS6酶活/神经酰胺组学(B线)；FXR/THRβ报告基因；SPR测KD。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阶段3 体内：AMLN饮食C57BL/6J小鼠12周+给药4周(20mg/kg/day)，NAS评分+油红O+纤维化qPCR，n=8/组。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样品获取：07H239-A需菌种发酵(炭角菌可培养)；Aspergicin海洋曲霉可培养；Alisiaquinol海绵来源难→先做合成类似物；樟芝菌丝体粉+antrodin标样可购。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六、下一步计划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靶点三线并行推进：A线MARC1抑制剂筛选（库内对接+酶活验证）；B线CerS6——按Science 2025范式寻找第二个真菌CerS6抑制剂（本库真菌来源聚酮/生物碱优先）；C线SQLE/FDFT1天然抑制剂筛选。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化合物线：07H239-A/Aspergicin发酵获取+类似物虚拟扩充（ECFP邻域检索ChEMBL）；TOP40采购清单与溶剂对照整理。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论文线：73.9万分子四维三角筛选框架+机会靶点组合论证，目标普通期刊/学术会议。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七、结论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新方向已按用户要求完成重开：靶点不锁定（遗传机会+Science2025新范式+自建疾病模块三线并行），化合物不限来源（73.9万全天然产物空间），筛出内生真菌/海绵/海洋曲霉来源的三首选冷门候选并给出可执行湿实验方案。全部数据真实可溯源（GWAS/OT/ChEMBL/COCONUT/PubChem/PDB），全部代码可复现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抗MASH冷门药物筛选·新方向进展汇报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2026-08-18T01:54:23.085Z</dcterms:created>
  <dcterms:modified xsi:type="dcterms:W3CDTF">2026-08-18T01:54:23.086Z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