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2900"/>
            </w:pPr>
          </w:p>
          <w:p>
            <w:pPr>
              <w:spacing w:after="400"/>
              <w:jc w:val="center"/>
            </w:pPr>
            <w:r>
              <w:rPr>
                <w:rFonts w:ascii="Times New Roman" w:eastAsia="SimSun"/>
                <w:spacing w:val="40"/>
                <w:sz w:val="44"/>
                <w:szCs w:val="44"/>
              </w:rPr>
              <w:t xml:space="preserve">沈阳药科大学</w:t>
            </w:r>
          </w:p>
          <w:p>
            <w:pPr>
              <w:spacing w:after="120"/>
              <w:jc w:val="center"/>
            </w:pPr>
            <w:r>
              <w:rPr>
                <w:rFonts w:ascii="Times New Roman" w:eastAsia="SimHei"/>
                <w:b/>
                <w:bCs/>
                <w:sz w:val="56"/>
                <w:szCs w:val="56"/>
              </w:rPr>
              <w:t xml:space="preserve">基于贝叶斯图神经网络的</w:t>
            </w:r>
          </w:p>
          <w:p>
            <w:pPr>
              <w:spacing w:after="300"/>
              <w:jc w:val="center"/>
            </w:pPr>
            <w:r>
              <w:rPr>
                <w:rFonts w:ascii="Times New Roman" w:eastAsia="SimHei"/>
                <w:b/>
                <w:bCs/>
                <w:sz w:val="56"/>
                <w:szCs w:val="56"/>
              </w:rPr>
              <w:t xml:space="preserve">抗MASH天然药物筛选项目</w:t>
            </w:r>
          </w:p>
          <w:p>
            <w:pPr>
              <w:spacing w:after="200"/>
              <w:jc w:val="center"/>
            </w:pPr>
            <w:r>
              <w:rPr>
                <w:rFonts w:ascii="Times New Roman" w:eastAsia="SimSun"/>
                <w:sz w:val="28"/>
                <w:szCs w:val="28"/>
              </w:rPr>
              <w:t xml:space="preserve">暑假中期报告</w:t>
            </w:r>
          </w:p>
          <w:p>
            <w:pPr>
              <w:spacing w:before="1200"/>
            </w:pPr>
          </w:p>
          <w:tbl>
            <w:tblPr>
              <w:tblW w:type="pct" w:w="62%"/>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30%"/>
                  <w:tcBorders>
                    <w:top w:val="none" w:color="FFFFFF" w:sz="0"/>
                    <w:left w:val="none" w:color="FFFFFF" w:sz="0"/>
                    <w:bottom w:val="none" w:color="FFFFFF" w:sz="0"/>
                    <w:right w:val="none" w:color="FFFFFF" w:sz="0"/>
                  </w:tcBorders>
                  <w:tcMar>
                    <w:top w:type="dxa" w:w="60"/>
                    <w:left w:type="dxa" w:w="0"/>
                    <w:bottom w:type="dxa" w:w="60"/>
                    <w:right w:type="dxa" w:w="0"/>
                  </w:tcMar>
                </w:tcPr>
                <w:p>
                  <w:pPr>
                    <w:spacing w:line="400"/>
                  </w:pPr>
                  <w:r>
                    <w:rPr>
                      <w:rFonts w:ascii="Times New Roman" w:eastAsia="SimSun"/>
                      <w:sz w:val="24"/>
                      <w:szCs w:val="24"/>
                    </w:rPr>
                    <w:t xml:space="preserve">项目类别：</w:t>
                  </w:r>
                </w:p>
              </w:tc>
              <w:tc>
                <w:tcPr>
                  <w:tcW w:type="pct" w:w="70%"/>
                  <w:tcBorders>
                    <w:top w:val="none" w:color="FFFFFF" w:sz="0"/>
                    <w:left w:val="none" w:color="FFFFFF" w:sz="0"/>
                    <w:bottom w:val="single" w:color="000000" w:sz="4"/>
                    <w:right w:val="none" w:color="FFFFFF" w:sz="0"/>
                  </w:tcBorders>
                  <w:tcMar>
                    <w:top w:type="dxa" w:w="60"/>
                    <w:left w:type="dxa" w:w="80"/>
                    <w:bottom w:type="dxa" w:w="60"/>
                    <w:right w:type="dxa" w:w="0"/>
                  </w:tcMar>
                </w:tcPr>
                <w:p>
                  <w:pPr>
                    <w:spacing w:line="400"/>
                  </w:pPr>
                  <w:r>
                    <w:rPr>
                      <w:rFonts w:ascii="Times New Roman" w:eastAsia="SimSun"/>
                      <w:sz w:val="24"/>
                      <w:szCs w:val="24"/>
                    </w:rPr>
                    <w:t xml:space="preserve">创新训练项目</w:t>
                  </w:r>
                </w:p>
              </w:tc>
            </w:tr>
            <w:tr>
              <w:trPr>
                <w:cantSplit/>
              </w:trPr>
              <w:tc>
                <w:tcPr>
                  <w:tcW w:type="pct" w:w="30%"/>
                  <w:tcBorders>
                    <w:top w:val="none" w:color="FFFFFF" w:sz="0"/>
                    <w:left w:val="none" w:color="FFFFFF" w:sz="0"/>
                    <w:bottom w:val="none" w:color="FFFFFF" w:sz="0"/>
                    <w:right w:val="none" w:color="FFFFFF" w:sz="0"/>
                  </w:tcBorders>
                  <w:tcMar>
                    <w:top w:type="dxa" w:w="60"/>
                    <w:left w:type="dxa" w:w="0"/>
                    <w:bottom w:type="dxa" w:w="60"/>
                    <w:right w:type="dxa" w:w="0"/>
                  </w:tcMar>
                </w:tcPr>
                <w:p>
                  <w:pPr>
                    <w:spacing w:line="400"/>
                  </w:pPr>
                  <w:r>
                    <w:rPr>
                      <w:rFonts w:ascii="Times New Roman" w:eastAsia="SimSun"/>
                      <w:sz w:val="24"/>
                      <w:szCs w:val="24"/>
                    </w:rPr>
                    <w:t xml:space="preserve">项目负责人：</w:t>
                  </w:r>
                </w:p>
              </w:tc>
              <w:tc>
                <w:tcPr>
                  <w:tcW w:type="pct" w:w="70%"/>
                  <w:tcBorders>
                    <w:top w:val="none" w:color="FFFFFF" w:sz="0"/>
                    <w:left w:val="none" w:color="FFFFFF" w:sz="0"/>
                    <w:bottom w:val="single" w:color="000000" w:sz="4"/>
                    <w:right w:val="none" w:color="FFFFFF" w:sz="0"/>
                  </w:tcBorders>
                  <w:tcMar>
                    <w:top w:type="dxa" w:w="60"/>
                    <w:left w:type="dxa" w:w="80"/>
                    <w:bottom w:type="dxa" w:w="60"/>
                    <w:right w:type="dxa" w:w="0"/>
                  </w:tcMar>
                </w:tcPr>
                <w:p>
                  <w:pPr>
                    <w:spacing w:line="400"/>
                  </w:pPr>
                  <w:r>
                    <w:rPr>
                      <w:rFonts w:ascii="Times New Roman" w:eastAsia="SimSun"/>
                      <w:sz w:val="24"/>
                      <w:szCs w:val="24"/>
                    </w:rPr>
                    <w:t xml:space="preserve">王启龙</w:t>
                  </w:r>
                </w:p>
              </w:tc>
            </w:tr>
            <w:tr>
              <w:trPr>
                <w:cantSplit/>
              </w:trPr>
              <w:tc>
                <w:tcPr>
                  <w:tcW w:type="pct" w:w="30%"/>
                  <w:tcBorders>
                    <w:top w:val="none" w:color="FFFFFF" w:sz="0"/>
                    <w:left w:val="none" w:color="FFFFFF" w:sz="0"/>
                    <w:bottom w:val="none" w:color="FFFFFF" w:sz="0"/>
                    <w:right w:val="none" w:color="FFFFFF" w:sz="0"/>
                  </w:tcBorders>
                  <w:tcMar>
                    <w:top w:type="dxa" w:w="60"/>
                    <w:left w:type="dxa" w:w="0"/>
                    <w:bottom w:type="dxa" w:w="60"/>
                    <w:right w:type="dxa" w:w="0"/>
                  </w:tcMar>
                </w:tcPr>
                <w:p>
                  <w:pPr>
                    <w:spacing w:line="400"/>
                  </w:pPr>
                  <w:r>
                    <w:rPr>
                      <w:rFonts w:ascii="Times New Roman" w:eastAsia="SimSun"/>
                      <w:sz w:val="24"/>
                      <w:szCs w:val="24"/>
                    </w:rPr>
                    <w:t xml:space="preserve">指导教师：</w:t>
                  </w:r>
                </w:p>
              </w:tc>
              <w:tc>
                <w:tcPr>
                  <w:tcW w:type="pct" w:w="70%"/>
                  <w:tcBorders>
                    <w:top w:val="none" w:color="FFFFFF" w:sz="0"/>
                    <w:left w:val="none" w:color="FFFFFF" w:sz="0"/>
                    <w:bottom w:val="single" w:color="000000" w:sz="4"/>
                    <w:right w:val="none" w:color="FFFFFF" w:sz="0"/>
                  </w:tcBorders>
                  <w:tcMar>
                    <w:top w:type="dxa" w:w="60"/>
                    <w:left w:type="dxa" w:w="80"/>
                    <w:bottom w:type="dxa" w:w="60"/>
                    <w:right w:type="dxa" w:w="0"/>
                  </w:tcMar>
                </w:tcPr>
                <w:p>
                  <w:pPr>
                    <w:spacing w:line="400"/>
                  </w:pPr>
                  <w:r>
                    <w:rPr>
                      <w:rFonts w:ascii="Times New Roman" w:eastAsia="SimSun"/>
                      <w:sz w:val="24"/>
                      <w:szCs w:val="24"/>
                    </w:rPr>
                    <w:t xml:space="preserve">姜希伟</w:t>
                  </w:r>
                </w:p>
              </w:tc>
            </w:tr>
            <w:tr>
              <w:trPr>
                <w:cantSplit/>
              </w:trPr>
              <w:tc>
                <w:tcPr>
                  <w:tcW w:type="pct" w:w="30%"/>
                  <w:tcBorders>
                    <w:top w:val="none" w:color="FFFFFF" w:sz="0"/>
                    <w:left w:val="none" w:color="FFFFFF" w:sz="0"/>
                    <w:bottom w:val="none" w:color="FFFFFF" w:sz="0"/>
                    <w:right w:val="none" w:color="FFFFFF" w:sz="0"/>
                  </w:tcBorders>
                  <w:tcMar>
                    <w:top w:type="dxa" w:w="60"/>
                    <w:left w:type="dxa" w:w="0"/>
                    <w:bottom w:type="dxa" w:w="60"/>
                    <w:right w:type="dxa" w:w="0"/>
                  </w:tcMar>
                </w:tcPr>
                <w:p>
                  <w:pPr>
                    <w:spacing w:line="400"/>
                  </w:pPr>
                  <w:r>
                    <w:rPr>
                      <w:rFonts w:ascii="Times New Roman" w:eastAsia="SimSun"/>
                      <w:sz w:val="24"/>
                      <w:szCs w:val="24"/>
                    </w:rPr>
                    <w:t xml:space="preserve">报告期间：</w:t>
                  </w:r>
                </w:p>
              </w:tc>
              <w:tc>
                <w:tcPr>
                  <w:tcW w:type="pct" w:w="70%"/>
                  <w:tcBorders>
                    <w:top w:val="none" w:color="FFFFFF" w:sz="0"/>
                    <w:left w:val="none" w:color="FFFFFF" w:sz="0"/>
                    <w:bottom w:val="single" w:color="000000" w:sz="4"/>
                    <w:right w:val="none" w:color="FFFFFF" w:sz="0"/>
                  </w:tcBorders>
                  <w:tcMar>
                    <w:top w:type="dxa" w:w="60"/>
                    <w:left w:type="dxa" w:w="80"/>
                    <w:bottom w:type="dxa" w:w="60"/>
                    <w:right w:type="dxa" w:w="0"/>
                  </w:tcMar>
                </w:tcPr>
                <w:p>
                  <w:pPr>
                    <w:spacing w:line="400"/>
                  </w:pPr>
                  <w:r>
                    <w:rPr>
                      <w:rFonts w:ascii="Times New Roman" w:eastAsia="SimSun"/>
                      <w:sz w:val="24"/>
                      <w:szCs w:val="24"/>
                    </w:rPr>
                    <w:t xml:space="preserve">2026年6月至8月</w:t>
                  </w:r>
                </w:p>
              </w:tc>
            </w:tr>
          </w:tbl>
          <w:p>
            <w:pPr>
              <w:spacing w:before="3000"/>
            </w:pPr>
          </w:p>
          <w:p>
            <w:pPr>
              <w:jc w:val="center"/>
            </w:pPr>
            <w:r>
              <w:rPr>
                <w:rFonts w:ascii="Times New Roman" w:eastAsia="SimSun"/>
                <w:color w:val="404040"/>
                <w:sz w:val="24"/>
                <w:szCs w:val="24"/>
              </w:rPr>
              <w:t xml:space="preserve">二〇二六年八月</w:t>
            </w:r>
          </w:p>
        </w:tc>
      </w:tr>
    </w:tbl>
    <w:p>
      <w:pPr>
        <w:sectPr>
          <w:pgSz w:w="11906" w:h="16838" w:orient="portrait"/>
          <w:pgMar w:top="0" w:right="0" w:bottom="0" w:left="0" w:header="708" w:footer="708" w:gutter="0"/>
          <w:pgNumType/>
          <w:docGrid w:linePitch="360"/>
        </w:sectPr>
      </w:pPr>
    </w:p>
    <w:p>
      <w:pPr>
        <w:pStyle w:val="Heading1"/>
        <w:spacing w:after="140" w:before="330" w:line="312"/>
      </w:pPr>
      <w:r>
        <w:rPr>
          <w:rFonts w:ascii="Times New Roman" w:eastAsia="SimHei"/>
          <w:b/>
          <w:bCs/>
          <w:color w:val="0B1220"/>
        </w:rPr>
        <w:t xml:space="preserve">一、项目背景与暑期工作概述</w:t>
      </w:r>
    </w:p>
    <w:p>
      <w:pPr>
        <w:spacing w:after="80" w:line="312"/>
        <w:ind w:firstLine="440"/>
        <w:jc w:val="both"/>
      </w:pPr>
      <w:r>
        <w:rPr>
          <w:color w:val="182030"/>
          <w:sz w:val="24"/>
          <w:szCs w:val="24"/>
        </w:rPr>
        <w:t xml:space="preserve">代谢相关脂肪性肝炎（MASH）是全球慢性肝病的主要类型，与肝硬化及肝细胞癌进展密切相关。2024年3月甲状腺激素受体β激动剂resmetirom获美国食品药品监督管理局批准成为首个MASH治疗药物，2025年8月司美格鲁肽亦获加速批准，但现有疗法在纤维化逆转、安全性与可及性方面仍远不能满足临床需求，新候选分子的发掘依然是领域核心问题。</w:t>
      </w:r>
    </w:p>
    <w:p>
      <w:pPr>
        <w:spacing w:after="80" w:line="312"/>
        <w:ind w:firstLine="440"/>
        <w:jc w:val="both"/>
      </w:pPr>
      <w:r>
        <w:rPr>
          <w:color w:val="182030"/>
          <w:sz w:val="24"/>
          <w:szCs w:val="24"/>
        </w:rPr>
        <w:t xml:space="preserve">本项目立项时的技术路线为：以FXR为建模主锚点，构建带不确定性量化的贝叶斯图神经网络，对十种保肝中药的活性成分进行虚拟筛选。暑期工作按申报书计划完成了病理学验证与模型构建的全部内容；在执行过程中，通过对模型适用边界的严格检验，我们认识到单一靶点的点预测难以支撑天然产物这类高多样性化学空间的筛选决策，据此将研究逐步深化为“多靶点评估—组合协同—中药专项”的完整框架，并最终形成两份候选药物榜单（全域来源与中药来源各前五名）。全部研究基于真实公共数据库（GEO、ChEMBL、PubChem、COCONUT、RCSB PDB、STRING），全部代码与中间结果在项目目录中存档，可复核、可复现。</w:t>
      </w:r>
    </w:p>
    <w:p>
      <w:pPr>
        <w:pStyle w:val="Heading1"/>
        <w:spacing w:after="140" w:before="330" w:line="312"/>
      </w:pPr>
      <w:r>
        <w:rPr>
          <w:rFonts w:ascii="Times New Roman" w:eastAsia="SimHei"/>
          <w:b/>
          <w:bCs/>
          <w:color w:val="0B1220"/>
        </w:rPr>
        <w:t xml:space="preserve">二、总体研究思路与阶段衔接</w:t>
      </w:r>
    </w:p>
    <w:p>
      <w:pPr>
        <w:spacing w:after="80" w:line="312"/>
        <w:ind w:firstLine="440"/>
        <w:jc w:val="both"/>
      </w:pPr>
      <w:r>
        <w:rPr>
          <w:color w:val="182030"/>
          <w:sz w:val="24"/>
          <w:szCs w:val="24"/>
        </w:rPr>
        <w:t xml:space="preserve">整个暑期工作由浅入深分为五个相互衔接的环节。第一步，在人体病理层面确认候选靶点与疾病的关联，为后续所有计算提供生物学依据；第二步，按申报书原方案构建FXR单靶点预测模型，并对模型开展超出常规做法的严格性检验；第三步，检验所暴露的问题直接推动了方法升级——将单一靶点扩展为覆盖脂代谢与核受体两大类共十一个肝相关靶点的多靶点评估体系，化合物空间由十味中药扩展到七十余万天然产物；第四步，对计算筛选得到的候选分子逐一进行文献新颖性核查，确认其研究空白并评估风险；第五步，针对MASH多机制并存的疾病特征设计组合协同方案，并以四种独立方法交叉验证设计逻辑，最终结合团队中药学背景完成中药专项筛选，形成候选药物终版榜单。</w:t>
      </w:r>
    </w:p>
    <w:p>
      <w:pPr>
        <w:spacing w:after="80" w:line="312"/>
        <w:ind w:firstLine="440"/>
        <w:jc w:val="both"/>
      </w:pPr>
      <w:r>
        <w:rPr>
          <w:color w:val="182030"/>
          <w:sz w:val="24"/>
          <w:szCs w:val="24"/>
        </w:rPr>
        <w:t xml:space="preserve">需要说明的是，第二环节中发现的模型局限并非工作失误，而是本研究的重要方法学收获：它以定量证据说明了在天然产物筛选中引入不确定性量化与多靶点交叉验证的必要性，这一认识贯穿并塑造了后续全部工作。</w:t>
      </w:r>
    </w:p>
    <w:p>
      <w:pPr>
        <w:pStyle w:val="Heading1"/>
        <w:spacing w:after="140" w:before="330" w:line="312"/>
      </w:pPr>
      <w:r>
        <w:rPr>
          <w:rFonts w:ascii="Times New Roman" w:eastAsia="SimHei"/>
          <w:b/>
          <w:bCs/>
          <w:color w:val="0B1220"/>
        </w:rPr>
        <w:t xml:space="preserve">三、各环节方法与结果</w:t>
      </w:r>
    </w:p>
    <w:p>
      <w:pPr>
        <w:pStyle w:val="Heading2"/>
        <w:spacing w:after="100" w:before="220" w:line="312"/>
      </w:pPr>
      <w:r>
        <w:rPr>
          <w:rFonts w:ascii="Times New Roman" w:eastAsia="SimHei"/>
          <w:b/>
          <w:bCs/>
          <w:color w:val="0B1220"/>
        </w:rPr>
        <w:t xml:space="preserve">3.1 MASH核心靶点的病理学验证</w:t>
      </w:r>
    </w:p>
    <w:p>
      <w:pPr>
        <w:spacing w:after="80" w:line="312"/>
        <w:ind w:firstLine="440"/>
        <w:jc w:val="both"/>
      </w:pPr>
      <w:r>
        <w:rPr>
          <w:color w:val="182030"/>
          <w:sz w:val="24"/>
          <w:szCs w:val="24"/>
        </w:rPr>
        <w:t xml:space="preserve">本环节目的在于确认FXR、THRβ与ACC三个靶点在MASH患者肝组织中存在可检测的病理改变，使后续建模有据可依。数据采用GEO数据库的GSE135251数据集（转录组测序，216例人肝活检，其中健康对照10例、单纯脂肪变性51例、MASH 155例，均附纤维化分期与NAS评分）。经基因符号映射、标准化与统计学检验（Welch t检验加Benjamini-Hochberg校正），共鉴定出3909个差异表达基因。四个核心靶点均达到统计学显著：FXR编码基因NR1H4下调0.285倍（对数尺度，校正后p=0.010），THRβ编码基因THRB下调0.315（p=0.020），ACC1编码基因ACACA上调0.897（p=7.4×10⁵），ACC2编码基因ACACB上调0.631（p=0.004）。受体下调与合成酶上调的组合模式，为“受体激动联合合成抑制”的干预思路提供了病理学注脚。</w:t>
      </w:r>
    </w:p>
    <w:p>
      <w:pPr>
        <w:spacing w:after="80" w:line="312"/>
        <w:ind w:firstLine="440"/>
        <w:jc w:val="both"/>
      </w:pPr>
      <w:r>
        <w:rPr>
          <w:color w:val="182030"/>
          <w:sz w:val="24"/>
          <w:szCs w:val="24"/>
        </w:rPr>
        <w:t xml:space="preserve">在同批数据上开展的共表达分析进一步识别出三个与疾病严重度相关的基因模块：以THY1、COL1A2为代表的纤维化模块（与纤维化分期相关系数0.58），以PLIN1/2、FGF21为代表的脂滴代谢模块，以及以HMGCR、SQLE、FDFT1为代表的胆固醇合成模块。通路富集分析中排名首位的正是胆汁分泌通路（p=8.6×10⁴），与FXR的胆汁酸感受器身份吻合。这些模块与靶点共同构成了后续多靶点评估的疾病背景。</w:t>
      </w:r>
    </w:p>
    <w:p>
      <w:pPr>
        <w:pStyle w:val="Heading2"/>
        <w:spacing w:after="100" w:before="220" w:line="312"/>
      </w:pPr>
      <w:r>
        <w:rPr>
          <w:rFonts w:ascii="Times New Roman" w:eastAsia="SimHei"/>
          <w:b/>
          <w:bCs/>
          <w:color w:val="0B1220"/>
        </w:rPr>
        <w:t xml:space="preserve">3.2 FXR单靶点贝叶斯GNN模型及其严格性检验</w:t>
      </w:r>
    </w:p>
    <w:p>
      <w:pPr>
        <w:spacing w:after="80" w:line="312"/>
        <w:ind w:firstLine="440"/>
        <w:jc w:val="both"/>
      </w:pPr>
      <w:r>
        <w:rPr>
          <w:color w:val="182030"/>
          <w:sz w:val="24"/>
          <w:szCs w:val="24"/>
        </w:rPr>
        <w:t xml:space="preserve">按申报书方案，从ChEMBL数据库获取人源FXR（CHEMBL2047）的结合实验活性数据548条，经精确关系过滤、盐剥离、规范化去重、PAINS过滤与适用域剔除后得到354个化合物的训练集。模型采用图同构网络（GIN）架构，引入异方差负对数似然损失与蒙特卡洛Dropout（T=50）实现偶然与认知不确定性的双层量化，并以五个随机种子的深度集成稳定方差估计。</w:t>
      </w:r>
    </w:p>
    <w:p>
      <w:pPr>
        <w:spacing w:after="80" w:line="312"/>
        <w:ind w:firstLine="440"/>
        <w:jc w:val="both"/>
      </w:pPr>
      <w:r>
        <w:rPr>
          <w:color w:val="182030"/>
          <w:sz w:val="24"/>
          <w:szCs w:val="24"/>
        </w:rPr>
        <w:t xml:space="preserve">在申报书口径的随机划分独立测试集上，模型决定系数R²为0.790、均方根误差0.723、回归期望校准误差0.029，三项均达到或优于申报书指标（分别为不低于0.60、不高于0.80、不高于0.15）；分类维度的精确率-召回率曲线下面积达0.955。分子对接环节对四个受体晶体结构完成重对接验证（构象均方根偏差全部小于2埃），阳性对照药物的对接强弱排序与已知活性强度一致，说明结构层面的计算流程可信。</w:t>
      </w:r>
    </w:p>
    <w:p>
      <w:pPr>
        <w:spacing w:after="80" w:line="312"/>
        <w:ind w:firstLine="440"/>
        <w:jc w:val="both"/>
      </w:pPr>
      <w:r>
        <w:rPr>
          <w:color w:val="182030"/>
          <w:sz w:val="24"/>
          <w:szCs w:val="24"/>
        </w:rPr>
        <w:t xml:space="preserve">然而，三项超常规的严格性检验揭示了模型的适用边界。其一，将测试集改为训练集未见过的分子骨架时，所有模型的决定系数均大幅下降（本模型由0.79降至-0.61，随机森林与XGBoost基线同样崩塌），说明性能高度依赖化学空间相似性。其二，以六种已知天然FXR配体（胆汁酸家族）做召回测试，预测值与文献活性值的秩相关仅为-0.086，即模型对天然产物骨架基本不具备排序能力，尽管其输出的大方差在一定程度上“知道自己不知道”。其三，初版筛选中黄连生物碱族获得的高预测活性经溯源核查，与训练集的最大分子指纹相似度仅0.20，属于模型外推产生的可疑结果。这三项发现共同界定了单靶点点预测的可靠性边界，也直接构成了下一环节方法升级的动因。</w:t>
      </w:r>
    </w:p>
    <w:p>
      <w:pPr>
        <w:pStyle w:val="Heading2"/>
        <w:spacing w:after="100" w:before="220" w:line="312"/>
      </w:pPr>
      <w:r>
        <w:rPr>
          <w:rFonts w:ascii="Times New Roman" w:eastAsia="SimHei"/>
          <w:b/>
          <w:bCs/>
          <w:color w:val="0B1220"/>
        </w:rPr>
        <w:t xml:space="preserve">3.3 从单靶点到多靶点：天然产物库的规模化筛选</w:t>
      </w:r>
    </w:p>
    <w:p>
      <w:pPr>
        <w:spacing w:after="80" w:line="312"/>
        <w:ind w:firstLine="440"/>
        <w:jc w:val="both"/>
      </w:pPr>
      <w:r>
        <w:rPr>
          <w:color w:val="182030"/>
          <w:sz w:val="24"/>
          <w:szCs w:val="24"/>
        </w:rPr>
        <w:t xml:space="preserve">鉴于上述局限，我们将评估框架升级为多靶点体系：从ChEMBL获取十一个肝相关靶点（FXR、THRβ、ACC2、FASN、DGAT2、SCD、HMGCR、FDFT1、SQLE、PPARγ、LXRα）共9195个化合物的真实活性数据，为每个靶点训练随机森林定量模型（检验集Spearman相关0.69至0.89），同时对化合物空间做量级扩充——下载COCONUT天然产物全库，去重与结构验证后得到738823个分子，其中27.4万个标注了来源物种。</w:t>
      </w:r>
    </w:p>
    <w:p>
      <w:pPr>
        <w:spacing w:after="80" w:line="312"/>
        <w:ind w:firstLine="440"/>
        <w:jc w:val="both"/>
      </w:pPr>
      <w:r>
        <w:rPr>
          <w:color w:val="182030"/>
          <w:sz w:val="24"/>
          <w:szCs w:val="24"/>
        </w:rPr>
        <w:t xml:space="preserve">以“至少三个靶点同时预测活性达微摩尔级”为标准，共识别出80698个多靶点配体；剔除泛警报结构、理化性质不合格者以及渗入数据库的合成库化合物与已知药物后，天然来源的多靶点领先者浮出水面：牛樟芝的Antrocinnamomin F同时作用于五个靶点且在FXR、ACC、THRβ三个受体的对接中全部达到强结合区间（-8.0至-8.9千卡/摩尔），土曲霉的丁内酯族、海绵与内生真菌来源的多个分子紧随其后。多靶点预测值至此仍属计算假设，其研究价值取决于候选是否真正处于研究空白，这正是下一环节的任务。</w:t>
      </w:r>
    </w:p>
    <w:p>
      <w:pPr>
        <w:pStyle w:val="Heading2"/>
        <w:spacing w:after="100" w:before="220" w:line="312"/>
      </w:pPr>
      <w:r>
        <w:rPr>
          <w:rFonts w:ascii="Times New Roman" w:eastAsia="SimHei"/>
          <w:b/>
          <w:bCs/>
          <w:color w:val="0B1220"/>
        </w:rPr>
        <w:t xml:space="preserve">3.4 候选化合物的新颖性核查</w:t>
      </w:r>
    </w:p>
    <w:p>
      <w:pPr>
        <w:spacing w:after="80" w:line="312"/>
        <w:ind w:firstLine="440"/>
        <w:jc w:val="both"/>
      </w:pPr>
      <w:r>
        <w:rPr>
          <w:color w:val="182030"/>
          <w:sz w:val="24"/>
          <w:szCs w:val="24"/>
        </w:rPr>
        <w:t xml:space="preserve">对位居前列的候选逐一在PubMed检索其肝病与代谢相关文献。核查结果支持三个主打车位：海洋来源Alternaria真菌的环肽Alternaramide此前从未被报道于任何肝病模型，但已有一项抑制TLR4-MyD88/NF-κB通路的抗炎机制研究（PMID 26620692），而该通路恰是MASH炎症阶段的核心环节，机制衔接顺理成章；曲霉属的Versicolamide B本体在代谢性肝病领域同样零报道，其同家族分子notoamide Q则在小鼠肝缺血再灌注模型中显示保护作用（PMID 37560942），且已有不对称全合成路线，样品可获取性在稀有真菌代谢物中最佳；牛樟芝来源的antcin与antrodin类成分则有小型随机双盲临床研究与充分的动物文献托底。与此同时，核查也暴露出若干高风险候选——强细胞毒记录、深水海绵来源难以再获取、结构修订论文曾被撤稿——均被如实降级为列表成员而非主打车位。</w:t>
      </w:r>
    </w:p>
    <w:p>
      <w:pPr>
        <w:pStyle w:val="Heading2"/>
        <w:spacing w:after="100" w:before="220" w:line="312"/>
      </w:pPr>
      <w:r>
        <w:rPr>
          <w:rFonts w:ascii="Times New Roman" w:eastAsia="SimHei"/>
          <w:b/>
          <w:bCs/>
          <w:color w:val="0B1220"/>
        </w:rPr>
        <w:t xml:space="preserve">3.5 组合协同设计与多方法交叉验证</w:t>
      </w:r>
    </w:p>
    <w:p>
      <w:pPr>
        <w:spacing w:after="80" w:line="312"/>
        <w:ind w:firstLine="440"/>
        <w:jc w:val="both"/>
      </w:pPr>
      <w:r>
        <w:rPr>
          <w:color w:val="182030"/>
          <w:sz w:val="24"/>
          <w:szCs w:val="24"/>
        </w:rPr>
        <w:t xml:space="preserve">MASH是脂代谢紊乱、炎症与纤维化多机制并存的疾病，单一分子即便多靶点，也难以同时覆盖全部病理环节。为此我们将上述成分按四条作用轴（核受体轴、脂合成轴、炎症间接轴、纤维化轴）设计正交组合，并采用四种彼此独立的方法验证设计逻辑。网络医学邻近度分析（基于STRING真实互作数据）显示含Alternaramide的组合在网络距离上最优；临床先例检索证实MASH组合疗法已被领域接受，FXR+THRβ、FXR+ACC、FGF21+GLP-1等组合均已进入二期临床；人肝单细胞图谱（Nature 2019）证实胶原合成限于间质细胞、白介素1β等炎症标志限于巨噬细胞区室，为多轴作用于不同细胞类型提供了直接证据；组合数据库层面则因现有库以肿瘤为主而无肝病数据，属中性结果。四法合议后我们对组合优先级做了修正：证据最强的“代谢+代谢”与“代谢+纤维化”组合升为一等，含Alternaramide的组合因机制身份尚待复核而列为二线。</w:t>
      </w:r>
    </w:p>
    <w:p>
      <w:pPr>
        <w:pStyle w:val="Heading2"/>
        <w:spacing w:after="100" w:before="220" w:line="312"/>
      </w:pPr>
      <w:r>
        <w:rPr>
          <w:rFonts w:ascii="Times New Roman" w:eastAsia="SimHei"/>
          <w:b/>
          <w:bCs/>
          <w:color w:val="0B1220"/>
        </w:rPr>
        <w:t xml:space="preserve">3.6 中药专项筛选</w:t>
      </w:r>
    </w:p>
    <w:p>
      <w:pPr>
        <w:spacing w:after="80" w:line="312"/>
        <w:ind w:firstLine="440"/>
        <w:jc w:val="both"/>
      </w:pPr>
      <w:r>
        <w:rPr>
          <w:color w:val="182030"/>
          <w:sz w:val="24"/>
          <w:szCs w:val="24"/>
        </w:rPr>
        <w:t xml:space="preserve">考虑到团队的中药学背景与药材可及性，最终环节面向中药开展专项筛选。在已打分的全库中，按七十九味中药材（涵盖药典常用药、民族药与冷门肝病专科药）的物种信息过滤，得到40106个中药来源化合物的多靶点命中表；对每味药的最佳成分补做FXR与ACC双受体对接。结果显示中药池的对接构象分整体反超全域池：甘草来源的Derrone在FXR受体取得全场最强的-10.17千卡/摩尔，白花蛇舌草的Anthraxin双受体均低于-9.3，苣荬菜、田基黄、黄芪的代表性成分紧随其后。中药线的相对短板在于证据分——多数命中依赖药材传统效用加计算推断，而非成分自身的直接文献，这一差距恰好应由后续湿实验弥补。</w:t>
      </w:r>
    </w:p>
    <w:p>
      <w:pPr>
        <w:pStyle w:val="Heading1"/>
        <w:spacing w:after="140" w:before="330" w:line="312"/>
      </w:pPr>
      <w:r>
        <w:rPr>
          <w:rFonts w:ascii="Times New Roman" w:eastAsia="SimHei"/>
          <w:b/>
          <w:bCs/>
          <w:color w:val="0B1220"/>
        </w:rPr>
        <w:t xml:space="preserve">四、候选药物推荐</w:t>
      </w:r>
    </w:p>
    <w:p>
      <w:pPr>
        <w:spacing w:after="80" w:line="312"/>
        <w:ind w:firstLine="440"/>
        <w:jc w:val="both"/>
      </w:pPr>
      <w:r>
        <w:rPr>
          <w:color w:val="182030"/>
          <w:sz w:val="24"/>
          <w:szCs w:val="24"/>
        </w:rPr>
        <w:t xml:space="preserve">综合五个环节的证据，采用统一且系数公开的终评公式对全部候选排序：终评得分=0.35×多靶点活性分+0.25×对接构象分+0.20×证据分+0.10×新颖性分+0.10×可获得性分，其中证据分按临床研究、成分直接文献、药材传统效用加计算推断、纯计算四档赋值。两份榜单如下。</w:t>
      </w:r>
    </w:p>
    <w:p>
      <w:pPr>
        <w:keepNext/>
        <w:spacing w:after="70" w:before="110"/>
        <w:jc w:val="center"/>
      </w:pPr>
      <w:r>
        <w:rPr>
          <w:b/>
          <w:bCs/>
          <w:color w:val="506070"/>
          <w:sz w:val="20"/>
          <w:szCs w:val="20"/>
        </w:rPr>
        <w:t xml:space="preserve">表1  候选药物榜单（全域来源前五名）</w:t>
      </w:r>
    </w:p>
    <w:tbl>
      <w:tblPr>
        <w:tblW w:type="pct" w:w="100%"/>
        <w:tblBorders>
          <w:top w:val="single" w:color="9AA6B2" w:sz="2"/>
          <w:left w:val="none" w:color="FFFFFF" w:sz="0"/>
          <w:bottom w:val="single" w:color="9AA6B2" w:sz="2"/>
          <w:right w:val="none" w:color="FFFFFF" w:sz="0"/>
          <w:insideH w:val="single" w:color="D0D0D0" w:sz="1"/>
          <w:insideV w:val="none" w:color="FFFFFF" w:sz="0"/>
        </w:tblBorders>
      </w:tblPr>
      <w:tblGrid>
        <w:gridCol w:w="100"/>
        <w:gridCol w:w="100"/>
        <w:gridCol w:w="100"/>
        <w:gridCol w:w="100"/>
        <w:gridCol w:w="100"/>
        <w:gridCol w:w="100"/>
        <w:gridCol w:w="100"/>
      </w:tblGrid>
      <w:tr>
        <w:trPr>
          <w:cantSplit/>
          <w:tblHeader/>
        </w:trPr>
        <w:tc>
          <w:tcPr>
            <w:tcW w:type="pct" w:w="5%"/>
            <w:shd w:fill="EDF2F7" w:val="clear"/>
            <w:tcMar>
              <w:top w:type="dxa" w:w="50"/>
              <w:left w:type="dxa" w:w="80"/>
              <w:bottom w:type="dxa" w:w="50"/>
              <w:right w:type="dxa" w:w="80"/>
            </w:tcMar>
          </w:tcPr>
          <w:p>
            <w:pPr>
              <w:spacing w:line="260"/>
            </w:pPr>
            <w:r>
              <w:rPr>
                <w:b/>
                <w:bCs/>
                <w:color w:val="0B1220"/>
                <w:sz w:val="18"/>
                <w:szCs w:val="18"/>
              </w:rPr>
              <w:t xml:space="preserve">序“,”候选“,”来源“,”多靶点分</w:t>
            </w:r>
          </w:p>
        </w:tc>
        <w:tc>
          <w:tcPr>
            <w:tcW w:type="pct" w:w="22%"/>
            <w:shd w:fill="EDF2F7" w:val="clear"/>
            <w:tcMar>
              <w:top w:type="dxa" w:w="50"/>
              <w:left w:type="dxa" w:w="80"/>
              <w:bottom w:type="dxa" w:w="50"/>
              <w:right w:type="dxa" w:w="80"/>
            </w:tcMar>
          </w:tcPr>
          <w:p>
            <w:pPr>
              <w:spacing w:line="260"/>
            </w:pPr>
            <w:r>
              <w:rPr>
                <w:b/>
                <w:bCs/>
                <w:color w:val="0B1220"/>
                <w:sz w:val="18"/>
                <w:szCs w:val="18"/>
              </w:rPr>
              <w:t xml:space="preserve">FXR对接</w:t>
            </w:r>
          </w:p>
        </w:tc>
        <w:tc>
          <w:tcPr>
            <w:tcW w:type="pct" w:w="14%"/>
            <w:shd w:fill="EDF2F7" w:val="clear"/>
            <w:tcMar>
              <w:top w:type="dxa" w:w="50"/>
              <w:left w:type="dxa" w:w="80"/>
              <w:bottom w:type="dxa" w:w="50"/>
              <w:right w:type="dxa" w:w="80"/>
            </w:tcMar>
          </w:tcPr>
          <w:p>
            <w:pPr>
              <w:spacing w:line="260"/>
            </w:pPr>
            <w:r>
              <w:rPr>
                <w:b/>
                <w:bCs/>
                <w:color w:val="0B1220"/>
                <w:sz w:val="18"/>
                <w:szCs w:val="18"/>
              </w:rPr>
              <w:t xml:space="preserve">ACC对接“,”终评</w:t>
            </w:r>
          </w:p>
        </w:tc>
      </w:tr>
      <w:tr>
        <w:trPr>
          <w:cantSplit/>
        </w:trPr>
        <w:tc>
          <w:tcPr>
            <w:tcW w:type="pct" w:w="5%"/>
            <w:tcMar>
              <w:top w:type="dxa" w:w="50"/>
              <w:left w:type="dxa" w:w="80"/>
              <w:bottom w:type="dxa" w:w="50"/>
              <w:right w:type="dxa" w:w="80"/>
            </w:tcMar>
          </w:tcPr>
          <w:p>
            <w:pPr>
              <w:spacing w:line="260"/>
            </w:pPr>
            <w:r>
              <w:rPr>
                <w:b w:val="false"/>
                <w:bCs w:val="false"/>
                <w:color w:val="182030"/>
                <w:sz w:val="18"/>
                <w:szCs w:val="18"/>
              </w:rPr>
              <w:t xml:space="preserve">1</w:t>
            </w:r>
          </w:p>
        </w:tc>
        <w:tc>
          <w:tcPr>
            <w:tcW w:type="pct" w:w="22%"/>
            <w:tcMar>
              <w:top w:type="dxa" w:w="50"/>
              <w:left w:type="dxa" w:w="80"/>
              <w:bottom w:type="dxa" w:w="50"/>
              <w:right w:type="dxa" w:w="80"/>
            </w:tcMar>
          </w:tcPr>
          <w:p>
            <w:pPr>
              <w:spacing w:line="260"/>
            </w:pPr>
            <w:r>
              <w:rPr>
                <w:b w:val="false"/>
                <w:bCs w:val="false"/>
                <w:color w:val="182030"/>
                <w:sz w:val="18"/>
                <w:szCs w:val="18"/>
              </w:rPr>
              <w:t xml:space="preserve">Antrocinnamomin F</w:t>
            </w:r>
          </w:p>
        </w:tc>
        <w:tc>
          <w:tcPr>
            <w:tcW w:type="pct" w:w="14%"/>
            <w:tcMar>
              <w:top w:type="dxa" w:w="50"/>
              <w:left w:type="dxa" w:w="80"/>
              <w:bottom w:type="dxa" w:w="50"/>
              <w:right w:type="dxa" w:w="80"/>
            </w:tcMar>
          </w:tcPr>
          <w:p>
            <w:pPr>
              <w:spacing w:line="260"/>
            </w:pPr>
            <w:r>
              <w:rPr>
                <w:b w:val="false"/>
                <w:bCs w:val="false"/>
                <w:color w:val="182030"/>
                <w:sz w:val="18"/>
                <w:szCs w:val="18"/>
              </w:rPr>
              <w:t xml:space="preserve">牛樟芝</w:t>
            </w:r>
          </w:p>
        </w:tc>
        <w:tc>
          <w:tcPr>
            <w:tcW w:type="pct" w:w="11%"/>
            <w:tcMar>
              <w:top w:type="dxa" w:w="50"/>
              <w:left w:type="dxa" w:w="80"/>
              <w:bottom w:type="dxa" w:w="50"/>
              <w:right w:type="dxa" w:w="80"/>
            </w:tcMar>
          </w:tcPr>
          <w:p>
            <w:pPr>
              <w:spacing w:line="260"/>
            </w:pPr>
            <w:r>
              <w:rPr>
                <w:b w:val="false"/>
                <w:bCs w:val="false"/>
                <w:color w:val="182030"/>
                <w:sz w:val="18"/>
                <w:szCs w:val="18"/>
              </w:rPr>
              <w:t xml:space="preserve">34.4</w:t>
            </w:r>
          </w:p>
        </w:tc>
        <w:tc>
          <w:tcPr>
            <w:tcW w:type="pct" w:w="11%"/>
            <w:tcMar>
              <w:top w:type="dxa" w:w="50"/>
              <w:left w:type="dxa" w:w="80"/>
              <w:bottom w:type="dxa" w:w="50"/>
              <w:right w:type="dxa" w:w="80"/>
            </w:tcMar>
          </w:tcPr>
          <w:p>
            <w:pPr>
              <w:spacing w:line="260"/>
            </w:pPr>
            <w:r>
              <w:rPr>
                <w:b w:val="false"/>
                <w:bCs w:val="false"/>
                <w:color w:val="182030"/>
                <w:sz w:val="18"/>
                <w:szCs w:val="18"/>
              </w:rPr>
              <w:t xml:space="preserve">-8.01</w:t>
            </w:r>
          </w:p>
        </w:tc>
        <w:tc>
          <w:tcPr>
            <w:tcW w:type="pct" w:w="11%"/>
            <w:tcMar>
              <w:top w:type="dxa" w:w="50"/>
              <w:left w:type="dxa" w:w="80"/>
              <w:bottom w:type="dxa" w:w="50"/>
              <w:right w:type="dxa" w:w="80"/>
            </w:tcMar>
          </w:tcPr>
          <w:p>
            <w:pPr>
              <w:spacing w:line="260"/>
            </w:pPr>
            <w:r>
              <w:rPr>
                <w:b w:val="false"/>
                <w:bCs w:val="false"/>
                <w:color w:val="182030"/>
                <w:sz w:val="18"/>
                <w:szCs w:val="18"/>
              </w:rPr>
              <w:t xml:space="preserve">-8.93</w:t>
            </w:r>
          </w:p>
        </w:tc>
        <w:tc>
          <w:tcPr>
            <w:tcW w:type="pct" w:w="10%"/>
            <w:tcMar>
              <w:top w:type="dxa" w:w="50"/>
              <w:left w:type="dxa" w:w="80"/>
              <w:bottom w:type="dxa" w:w="50"/>
              <w:right w:type="dxa" w:w="80"/>
            </w:tcMar>
          </w:tcPr>
          <w:p>
            <w:pPr>
              <w:spacing w:line="260"/>
            </w:pPr>
            <w:r>
              <w:rPr>
                <w:b w:val="false"/>
                <w:bCs w:val="false"/>
                <w:color w:val="182030"/>
                <w:sz w:val="18"/>
                <w:szCs w:val="18"/>
              </w:rPr>
              <w:t xml:space="preserve">0.859</w:t>
            </w:r>
          </w:p>
        </w:tc>
      </w:tr>
      <w:tr>
        <w:trPr>
          <w:cantSplit/>
        </w:trPr>
        <w:tc>
          <w:tcPr>
            <w:tcW w:type="pct" w:w="5%"/>
            <w:tcMar>
              <w:top w:type="dxa" w:w="50"/>
              <w:left w:type="dxa" w:w="80"/>
              <w:bottom w:type="dxa" w:w="50"/>
              <w:right w:type="dxa" w:w="80"/>
            </w:tcMar>
          </w:tcPr>
          <w:p>
            <w:pPr>
              <w:spacing w:line="260"/>
            </w:pPr>
            <w:r>
              <w:rPr>
                <w:b w:val="false"/>
                <w:bCs w:val="false"/>
                <w:color w:val="182030"/>
                <w:sz w:val="18"/>
                <w:szCs w:val="18"/>
              </w:rPr>
              <w:t xml:space="preserve">2</w:t>
            </w:r>
          </w:p>
        </w:tc>
        <w:tc>
          <w:tcPr>
            <w:tcW w:type="pct" w:w="22%"/>
            <w:tcMar>
              <w:top w:type="dxa" w:w="50"/>
              <w:left w:type="dxa" w:w="80"/>
              <w:bottom w:type="dxa" w:w="50"/>
              <w:right w:type="dxa" w:w="80"/>
            </w:tcMar>
          </w:tcPr>
          <w:p>
            <w:pPr>
              <w:spacing w:line="260"/>
            </w:pPr>
            <w:r>
              <w:rPr>
                <w:b w:val="false"/>
                <w:bCs w:val="false"/>
                <w:color w:val="182030"/>
                <w:sz w:val="18"/>
                <w:szCs w:val="18"/>
              </w:rPr>
              <w:t xml:space="preserve">Aspernolide D族丁内酯“,”土曲霉</w:t>
            </w:r>
          </w:p>
        </w:tc>
        <w:tc>
          <w:tcPr>
            <w:tcW w:type="pct" w:w="14%"/>
            <w:tcMar>
              <w:top w:type="dxa" w:w="50"/>
              <w:left w:type="dxa" w:w="80"/>
              <w:bottom w:type="dxa" w:w="50"/>
              <w:right w:type="dxa" w:w="80"/>
            </w:tcMar>
          </w:tcPr>
          <w:p>
            <w:pPr>
              <w:spacing w:line="260"/>
            </w:pPr>
            <w:r>
              <w:rPr>
                <w:b w:val="false"/>
                <w:bCs w:val="false"/>
                <w:color w:val="182030"/>
                <w:sz w:val="18"/>
                <w:szCs w:val="18"/>
              </w:rPr>
              <w:t xml:space="preserve">35.6</w:t>
            </w:r>
          </w:p>
        </w:tc>
        <w:tc>
          <w:tcPr>
            <w:tcW w:type="pct" w:w="11%"/>
            <w:tcMar>
              <w:top w:type="dxa" w:w="50"/>
              <w:left w:type="dxa" w:w="80"/>
              <w:bottom w:type="dxa" w:w="50"/>
              <w:right w:type="dxa" w:w="80"/>
            </w:tcMar>
          </w:tcPr>
          <w:p>
            <w:pPr>
              <w:spacing w:line="260"/>
            </w:pPr>
            <w:r>
              <w:rPr>
                <w:b w:val="false"/>
                <w:bCs w:val="false"/>
                <w:color w:val="182030"/>
                <w:sz w:val="18"/>
                <w:szCs w:val="18"/>
              </w:rPr>
              <w:t xml:space="preserve">-8.63</w:t>
            </w:r>
          </w:p>
        </w:tc>
        <w:tc>
          <w:tcPr>
            <w:tcW w:type="pct" w:w="11%"/>
            <w:tcMar>
              <w:top w:type="dxa" w:w="50"/>
              <w:left w:type="dxa" w:w="80"/>
              <w:bottom w:type="dxa" w:w="50"/>
              <w:right w:type="dxa" w:w="80"/>
            </w:tcMar>
          </w:tcPr>
          <w:p>
            <w:pPr>
              <w:spacing w:line="260"/>
            </w:pPr>
            <w:r>
              <w:rPr>
                <w:b w:val="false"/>
                <w:bCs w:val="false"/>
                <w:color w:val="182030"/>
                <w:sz w:val="18"/>
                <w:szCs w:val="18"/>
              </w:rPr>
              <w:t xml:space="preserve">-8.97</w:t>
            </w:r>
          </w:p>
        </w:tc>
        <w:tc>
          <w:tcPr>
            <w:tcW w:type="pct" w:w="11%"/>
            <w:tcMar>
              <w:top w:type="dxa" w:w="50"/>
              <w:left w:type="dxa" w:w="80"/>
              <w:bottom w:type="dxa" w:w="50"/>
              <w:right w:type="dxa" w:w="80"/>
            </w:tcMar>
          </w:tcPr>
          <w:p>
            <w:pPr>
              <w:spacing w:line="260"/>
            </w:pPr>
            <w:r>
              <w:rPr>
                <w:b w:val="false"/>
                <w:bCs w:val="false"/>
                <w:color w:val="182030"/>
                <w:sz w:val="18"/>
                <w:szCs w:val="18"/>
              </w:rPr>
              <w:t xml:space="preserve">0.737</w:t>
            </w:r>
          </w:p>
        </w:tc>
      </w:tr>
      <w:tr>
        <w:trPr>
          <w:cantSplit/>
        </w:trPr>
        <w:tc>
          <w:tcPr>
            <w:tcW w:type="pct" w:w="5%"/>
            <w:tcMar>
              <w:top w:type="dxa" w:w="50"/>
              <w:left w:type="dxa" w:w="80"/>
              <w:bottom w:type="dxa" w:w="50"/>
              <w:right w:type="dxa" w:w="80"/>
            </w:tcMar>
          </w:tcPr>
          <w:p>
            <w:pPr>
              <w:spacing w:line="260"/>
            </w:pPr>
            <w:r>
              <w:rPr>
                <w:b w:val="false"/>
                <w:bCs w:val="false"/>
                <w:color w:val="182030"/>
                <w:sz w:val="18"/>
                <w:szCs w:val="18"/>
              </w:rPr>
              <w:t xml:space="preserve">3</w:t>
            </w:r>
          </w:p>
        </w:tc>
        <w:tc>
          <w:tcPr>
            <w:tcW w:type="pct" w:w="22%"/>
            <w:tcMar>
              <w:top w:type="dxa" w:w="50"/>
              <w:left w:type="dxa" w:w="80"/>
              <w:bottom w:type="dxa" w:w="50"/>
              <w:right w:type="dxa" w:w="80"/>
            </w:tcMar>
          </w:tcPr>
          <w:p>
            <w:pPr>
              <w:spacing w:line="260"/>
            </w:pPr>
            <w:r>
              <w:rPr>
                <w:b w:val="false"/>
                <w:bCs w:val="false"/>
                <w:color w:val="182030"/>
                <w:sz w:val="18"/>
                <w:szCs w:val="18"/>
              </w:rPr>
              <w:t xml:space="preserve">07H239-A</w:t>
            </w:r>
          </w:p>
        </w:tc>
        <w:tc>
          <w:tcPr>
            <w:tcW w:type="pct" w:w="14%"/>
            <w:tcMar>
              <w:top w:type="dxa" w:w="50"/>
              <w:left w:type="dxa" w:w="80"/>
              <w:bottom w:type="dxa" w:w="50"/>
              <w:right w:type="dxa" w:w="80"/>
            </w:tcMar>
          </w:tcPr>
          <w:p>
            <w:pPr>
              <w:spacing w:line="260"/>
            </w:pPr>
            <w:r>
              <w:rPr>
                <w:b w:val="false"/>
                <w:bCs w:val="false"/>
                <w:color w:val="182030"/>
                <w:sz w:val="18"/>
                <w:szCs w:val="18"/>
              </w:rPr>
              <w:t xml:space="preserve">内生真菌</w:t>
            </w:r>
          </w:p>
        </w:tc>
        <w:tc>
          <w:tcPr>
            <w:tcW w:type="pct" w:w="11%"/>
            <w:tcMar>
              <w:top w:type="dxa" w:w="50"/>
              <w:left w:type="dxa" w:w="80"/>
              <w:bottom w:type="dxa" w:w="50"/>
              <w:right w:type="dxa" w:w="80"/>
            </w:tcMar>
          </w:tcPr>
          <w:p>
            <w:pPr>
              <w:spacing w:line="260"/>
            </w:pPr>
            <w:r>
              <w:rPr>
                <w:b w:val="false"/>
                <w:bCs w:val="false"/>
                <w:color w:val="182030"/>
                <w:sz w:val="18"/>
                <w:szCs w:val="18"/>
              </w:rPr>
              <w:t xml:space="preserve">22.2</w:t>
            </w:r>
          </w:p>
        </w:tc>
        <w:tc>
          <w:tcPr>
            <w:tcW w:type="pct" w:w="11%"/>
            <w:tcMar>
              <w:top w:type="dxa" w:w="50"/>
              <w:left w:type="dxa" w:w="80"/>
              <w:bottom w:type="dxa" w:w="50"/>
              <w:right w:type="dxa" w:w="80"/>
            </w:tcMar>
          </w:tcPr>
          <w:p>
            <w:pPr>
              <w:spacing w:line="260"/>
            </w:pPr>
            <w:r>
              <w:rPr>
                <w:b w:val="false"/>
                <w:bCs w:val="false"/>
                <w:color w:val="182030"/>
                <w:sz w:val="18"/>
                <w:szCs w:val="18"/>
              </w:rPr>
              <w:t xml:space="preserve">-8.06</w:t>
            </w:r>
          </w:p>
        </w:tc>
        <w:tc>
          <w:tcPr>
            <w:tcW w:type="pct" w:w="11%"/>
            <w:tcMar>
              <w:top w:type="dxa" w:w="50"/>
              <w:left w:type="dxa" w:w="80"/>
              <w:bottom w:type="dxa" w:w="50"/>
              <w:right w:type="dxa" w:w="80"/>
            </w:tcMar>
          </w:tcPr>
          <w:p>
            <w:pPr>
              <w:spacing w:line="260"/>
            </w:pPr>
            <w:r>
              <w:rPr>
                <w:b w:val="false"/>
                <w:bCs w:val="false"/>
                <w:color w:val="182030"/>
                <w:sz w:val="18"/>
                <w:szCs w:val="18"/>
              </w:rPr>
              <w:t xml:space="preserve">-9.00</w:t>
            </w:r>
          </w:p>
        </w:tc>
        <w:tc>
          <w:tcPr>
            <w:tcW w:type="pct" w:w="10%"/>
            <w:tcMar>
              <w:top w:type="dxa" w:w="50"/>
              <w:left w:type="dxa" w:w="80"/>
              <w:bottom w:type="dxa" w:w="50"/>
              <w:right w:type="dxa" w:w="80"/>
            </w:tcMar>
          </w:tcPr>
          <w:p>
            <w:pPr>
              <w:spacing w:line="260"/>
            </w:pPr>
            <w:r>
              <w:rPr>
                <w:b w:val="false"/>
                <w:bCs w:val="false"/>
                <w:color w:val="182030"/>
                <w:sz w:val="18"/>
                <w:szCs w:val="18"/>
              </w:rPr>
              <w:t xml:space="preserve">0.626</w:t>
            </w:r>
          </w:p>
        </w:tc>
      </w:tr>
      <w:tr>
        <w:trPr>
          <w:cantSplit/>
        </w:trPr>
        <w:tc>
          <w:tcPr>
            <w:tcW w:type="pct" w:w="5%"/>
            <w:tcMar>
              <w:top w:type="dxa" w:w="50"/>
              <w:left w:type="dxa" w:w="80"/>
              <w:bottom w:type="dxa" w:w="50"/>
              <w:right w:type="dxa" w:w="80"/>
            </w:tcMar>
          </w:tcPr>
          <w:p>
            <w:pPr>
              <w:spacing w:line="260"/>
            </w:pPr>
            <w:r>
              <w:rPr>
                <w:b w:val="false"/>
                <w:bCs w:val="false"/>
                <w:color w:val="182030"/>
                <w:sz w:val="18"/>
                <w:szCs w:val="18"/>
              </w:rPr>
              <w:t xml:space="preserve">4</w:t>
            </w:r>
          </w:p>
        </w:tc>
        <w:tc>
          <w:tcPr>
            <w:tcW w:type="pct" w:w="22%"/>
            <w:tcMar>
              <w:top w:type="dxa" w:w="50"/>
              <w:left w:type="dxa" w:w="80"/>
              <w:bottom w:type="dxa" w:w="50"/>
              <w:right w:type="dxa" w:w="80"/>
            </w:tcMar>
          </w:tcPr>
          <w:p>
            <w:pPr>
              <w:spacing w:line="260"/>
            </w:pPr>
            <w:r>
              <w:rPr>
                <w:b w:val="false"/>
                <w:bCs w:val="false"/>
                <w:color w:val="182030"/>
                <w:sz w:val="18"/>
                <w:szCs w:val="18"/>
              </w:rPr>
              <w:t xml:space="preserve">Alisiaquinol</w:t>
            </w:r>
          </w:p>
        </w:tc>
        <w:tc>
          <w:tcPr>
            <w:tcW w:type="pct" w:w="14%"/>
            <w:tcMar>
              <w:top w:type="dxa" w:w="50"/>
              <w:left w:type="dxa" w:w="80"/>
              <w:bottom w:type="dxa" w:w="50"/>
              <w:right w:type="dxa" w:w="80"/>
            </w:tcMar>
          </w:tcPr>
          <w:p>
            <w:pPr>
              <w:spacing w:line="260"/>
            </w:pPr>
            <w:r>
              <w:rPr>
                <w:b w:val="false"/>
                <w:bCs w:val="false"/>
                <w:color w:val="182030"/>
                <w:sz w:val="18"/>
                <w:szCs w:val="18"/>
              </w:rPr>
              <w:t xml:space="preserve">深水海绵</w:t>
            </w:r>
          </w:p>
        </w:tc>
        <w:tc>
          <w:tcPr>
            <w:tcW w:type="pct" w:w="11%"/>
            <w:tcMar>
              <w:top w:type="dxa" w:w="50"/>
              <w:left w:type="dxa" w:w="80"/>
              <w:bottom w:type="dxa" w:w="50"/>
              <w:right w:type="dxa" w:w="80"/>
            </w:tcMar>
          </w:tcPr>
          <w:p>
            <w:pPr>
              <w:spacing w:line="260"/>
            </w:pPr>
            <w:r>
              <w:rPr>
                <w:b w:val="false"/>
                <w:bCs w:val="false"/>
                <w:color w:val="182030"/>
                <w:sz w:val="18"/>
                <w:szCs w:val="18"/>
              </w:rPr>
              <w:t xml:space="preserve">22.2</w:t>
            </w:r>
          </w:p>
        </w:tc>
        <w:tc>
          <w:tcPr>
            <w:tcW w:type="pct" w:w="11%"/>
            <w:tcMar>
              <w:top w:type="dxa" w:w="50"/>
              <w:left w:type="dxa" w:w="80"/>
              <w:bottom w:type="dxa" w:w="50"/>
              <w:right w:type="dxa" w:w="80"/>
            </w:tcMar>
          </w:tcPr>
          <w:p>
            <w:pPr>
              <w:spacing w:line="260"/>
            </w:pPr>
            <w:r>
              <w:rPr>
                <w:b w:val="false"/>
                <w:bCs w:val="false"/>
                <w:color w:val="182030"/>
                <w:sz w:val="18"/>
                <w:szCs w:val="18"/>
              </w:rPr>
              <w:t xml:space="preserve">-7.10</w:t>
            </w:r>
          </w:p>
        </w:tc>
        <w:tc>
          <w:tcPr>
            <w:tcW w:type="pct" w:w="11%"/>
            <w:tcMar>
              <w:top w:type="dxa" w:w="50"/>
              <w:left w:type="dxa" w:w="80"/>
              <w:bottom w:type="dxa" w:w="50"/>
              <w:right w:type="dxa" w:w="80"/>
            </w:tcMar>
          </w:tcPr>
          <w:p>
            <w:pPr>
              <w:spacing w:line="260"/>
            </w:pPr>
            <w:r>
              <w:rPr>
                <w:b w:val="false"/>
                <w:bCs w:val="false"/>
                <w:color w:val="182030"/>
                <w:sz w:val="18"/>
                <w:szCs w:val="18"/>
              </w:rPr>
              <w:t xml:space="preserve">-9.85</w:t>
            </w:r>
          </w:p>
        </w:tc>
        <w:tc>
          <w:tcPr>
            <w:tcW w:type="pct" w:w="10%"/>
            <w:tcMar>
              <w:top w:type="dxa" w:w="50"/>
              <w:left w:type="dxa" w:w="80"/>
              <w:bottom w:type="dxa" w:w="50"/>
              <w:right w:type="dxa" w:w="80"/>
            </w:tcMar>
          </w:tcPr>
          <w:p>
            <w:pPr>
              <w:spacing w:line="260"/>
            </w:pPr>
            <w:r>
              <w:rPr>
                <w:b w:val="false"/>
                <w:bCs w:val="false"/>
                <w:color w:val="182030"/>
                <w:sz w:val="18"/>
                <w:szCs w:val="18"/>
              </w:rPr>
              <w:t xml:space="preserve">0.625</w:t>
            </w:r>
          </w:p>
        </w:tc>
      </w:tr>
      <w:tr>
        <w:trPr>
          <w:cantSplit/>
        </w:trPr>
        <w:tc>
          <w:tcPr>
            <w:tcW w:type="pct" w:w="5%"/>
            <w:tcMar>
              <w:top w:type="dxa" w:w="50"/>
              <w:left w:type="dxa" w:w="80"/>
              <w:bottom w:type="dxa" w:w="50"/>
              <w:right w:type="dxa" w:w="80"/>
            </w:tcMar>
          </w:tcPr>
          <w:p>
            <w:pPr>
              <w:spacing w:line="260"/>
            </w:pPr>
            <w:r>
              <w:rPr>
                <w:b w:val="false"/>
                <w:bCs w:val="false"/>
                <w:color w:val="182030"/>
                <w:sz w:val="18"/>
                <w:szCs w:val="18"/>
              </w:rPr>
              <w:t xml:space="preserve">5</w:t>
            </w:r>
          </w:p>
        </w:tc>
        <w:tc>
          <w:tcPr>
            <w:tcW w:type="pct" w:w="22%"/>
            <w:tcMar>
              <w:top w:type="dxa" w:w="50"/>
              <w:left w:type="dxa" w:w="80"/>
              <w:bottom w:type="dxa" w:w="50"/>
              <w:right w:type="dxa" w:w="80"/>
            </w:tcMar>
          </w:tcPr>
          <w:p>
            <w:pPr>
              <w:spacing w:line="260"/>
            </w:pPr>
            <w:r>
              <w:rPr>
                <w:b w:val="false"/>
                <w:bCs w:val="false"/>
                <w:color w:val="182030"/>
                <w:sz w:val="18"/>
                <w:szCs w:val="18"/>
              </w:rPr>
              <w:t xml:space="preserve">Alternaramide</w:t>
            </w:r>
          </w:p>
        </w:tc>
        <w:tc>
          <w:tcPr>
            <w:tcW w:type="pct" w:w="14%"/>
            <w:tcMar>
              <w:top w:type="dxa" w:w="50"/>
              <w:left w:type="dxa" w:w="80"/>
              <w:bottom w:type="dxa" w:w="50"/>
              <w:right w:type="dxa" w:w="80"/>
            </w:tcMar>
          </w:tcPr>
          <w:p>
            <w:pPr>
              <w:spacing w:line="260"/>
            </w:pPr>
            <w:r>
              <w:rPr>
                <w:b w:val="false"/>
                <w:bCs w:val="false"/>
                <w:color w:val="182030"/>
                <w:sz w:val="18"/>
                <w:szCs w:val="18"/>
              </w:rPr>
              <w:t xml:space="preserve">海洋真菌</w:t>
            </w:r>
          </w:p>
        </w:tc>
        <w:tc>
          <w:tcPr>
            <w:tcW w:type="pct" w:w="11%"/>
            <w:tcMar>
              <w:top w:type="dxa" w:w="50"/>
              <w:left w:type="dxa" w:w="80"/>
              <w:bottom w:type="dxa" w:w="50"/>
              <w:right w:type="dxa" w:w="80"/>
            </w:tcMar>
          </w:tcPr>
          <w:p>
            <w:pPr>
              <w:spacing w:line="260"/>
            </w:pPr>
            <w:r>
              <w:rPr>
                <w:b w:val="false"/>
                <w:bCs w:val="false"/>
                <w:color w:val="182030"/>
                <w:sz w:val="18"/>
                <w:szCs w:val="18"/>
              </w:rPr>
              <w:t xml:space="preserve">20.0</w:t>
            </w:r>
          </w:p>
        </w:tc>
        <w:tc>
          <w:tcPr>
            <w:tcW w:type="pct" w:w="11%"/>
            <w:tcMar>
              <w:top w:type="dxa" w:w="50"/>
              <w:left w:type="dxa" w:w="80"/>
              <w:bottom w:type="dxa" w:w="50"/>
              <w:right w:type="dxa" w:w="80"/>
            </w:tcMar>
          </w:tcPr>
          <w:p>
            <w:pPr>
              <w:spacing w:line="260"/>
            </w:pPr>
            <w:r>
              <w:rPr>
                <w:b w:val="false"/>
                <w:bCs w:val="false"/>
                <w:color w:val="182030"/>
                <w:sz w:val="18"/>
                <w:szCs w:val="18"/>
              </w:rPr>
              <w:t xml:space="preserve">-6.51</w:t>
            </w:r>
          </w:p>
        </w:tc>
        <w:tc>
          <w:tcPr>
            <w:tcW w:type="pct" w:w="11%"/>
            <w:tcMar>
              <w:top w:type="dxa" w:w="50"/>
              <w:left w:type="dxa" w:w="80"/>
              <w:bottom w:type="dxa" w:w="50"/>
              <w:right w:type="dxa" w:w="80"/>
            </w:tcMar>
          </w:tcPr>
          <w:p>
            <w:pPr>
              <w:spacing w:line="260"/>
            </w:pPr>
            <w:r>
              <w:rPr>
                <w:b w:val="false"/>
                <w:bCs w:val="false"/>
                <w:color w:val="182030"/>
                <w:sz w:val="18"/>
                <w:szCs w:val="18"/>
              </w:rPr>
              <w:t xml:space="preserve">-8.25</w:t>
            </w:r>
          </w:p>
        </w:tc>
        <w:tc>
          <w:tcPr>
            <w:tcW w:type="pct" w:w="10%"/>
            <w:tcMar>
              <w:top w:type="dxa" w:w="50"/>
              <w:left w:type="dxa" w:w="80"/>
              <w:bottom w:type="dxa" w:w="50"/>
              <w:right w:type="dxa" w:w="80"/>
            </w:tcMar>
          </w:tcPr>
          <w:p>
            <w:pPr>
              <w:spacing w:line="260"/>
            </w:pPr>
            <w:r>
              <w:rPr>
                <w:b w:val="false"/>
                <w:bCs w:val="false"/>
                <w:color w:val="182030"/>
                <w:sz w:val="18"/>
                <w:szCs w:val="18"/>
              </w:rPr>
              <w:t xml:space="preserve">0.620</w:t>
            </w:r>
          </w:p>
        </w:tc>
      </w:tr>
    </w:tbl>
    <w:p>
      <w:pPr>
        <w:keepNext/>
        <w:spacing w:after="70" w:before="110"/>
        <w:jc w:val="center"/>
      </w:pPr>
      <w:r>
        <w:rPr>
          <w:b/>
          <w:bCs/>
          <w:color w:val="506070"/>
          <w:sz w:val="20"/>
          <w:szCs w:val="20"/>
        </w:rPr>
        <w:t xml:space="preserve">表2  候选药物榜单（中药专项前五名）</w:t>
      </w:r>
    </w:p>
    <w:tbl>
      <w:tblPr>
        <w:tblW w:type="pct" w:w="100%"/>
        <w:tblBorders>
          <w:top w:val="single" w:color="9AA6B2" w:sz="2"/>
          <w:left w:val="none" w:color="FFFFFF" w:sz="0"/>
          <w:bottom w:val="single" w:color="9AA6B2" w:sz="2"/>
          <w:right w:val="none" w:color="FFFFFF" w:sz="0"/>
          <w:insideH w:val="single" w:color="D0D0D0" w:sz="1"/>
          <w:insideV w:val="none" w:color="FFFFFF" w:sz="0"/>
        </w:tblBorders>
      </w:tblPr>
      <w:tblGrid>
        <w:gridCol w:w="100"/>
        <w:gridCol w:w="100"/>
        <w:gridCol w:w="100"/>
        <w:gridCol w:w="100"/>
        <w:gridCol w:w="100"/>
        <w:gridCol w:w="100"/>
        <w:gridCol w:w="100"/>
      </w:tblGrid>
      <w:tr>
        <w:trPr>
          <w:cantSplit/>
          <w:tblHeader/>
        </w:trPr>
        <w:tc>
          <w:tcPr>
            <w:tcW w:type="pct" w:w="5%"/>
            <w:shd w:fill="EDF2F7" w:val="clear"/>
            <w:tcMar>
              <w:top w:type="dxa" w:w="50"/>
              <w:left w:type="dxa" w:w="80"/>
              <w:bottom w:type="dxa" w:w="50"/>
              <w:right w:type="dxa" w:w="80"/>
            </w:tcMar>
          </w:tcPr>
          <w:p>
            <w:pPr>
              <w:spacing w:line="260"/>
            </w:pPr>
            <w:r>
              <w:rPr>
                <w:b/>
                <w:bCs/>
                <w:color w:val="0B1220"/>
                <w:sz w:val="18"/>
                <w:szCs w:val="18"/>
              </w:rPr>
              <w:t xml:space="preserve">序“,”药材“,”成分“,”多靶点分</w:t>
            </w:r>
          </w:p>
        </w:tc>
        <w:tc>
          <w:tcPr>
            <w:tcW w:type="pct" w:w="17%"/>
            <w:shd w:fill="EDF2F7" w:val="clear"/>
            <w:tcMar>
              <w:top w:type="dxa" w:w="50"/>
              <w:left w:type="dxa" w:w="80"/>
              <w:bottom w:type="dxa" w:w="50"/>
              <w:right w:type="dxa" w:w="80"/>
            </w:tcMar>
          </w:tcPr>
          <w:p>
            <w:pPr>
              <w:spacing w:line="260"/>
            </w:pPr>
            <w:r>
              <w:rPr>
                <w:b/>
                <w:bCs/>
                <w:color w:val="0B1220"/>
                <w:sz w:val="18"/>
                <w:szCs w:val="18"/>
              </w:rPr>
              <w:t xml:space="preserve">FXR对接</w:t>
            </w:r>
          </w:p>
        </w:tc>
        <w:tc>
          <w:tcPr>
            <w:tcW w:type="pct" w:w="20%"/>
            <w:shd w:fill="EDF2F7" w:val="clear"/>
            <w:tcMar>
              <w:top w:type="dxa" w:w="50"/>
              <w:left w:type="dxa" w:w="80"/>
              <w:bottom w:type="dxa" w:w="50"/>
              <w:right w:type="dxa" w:w="80"/>
            </w:tcMar>
          </w:tcPr>
          <w:p>
            <w:pPr>
              <w:spacing w:line="260"/>
            </w:pPr>
            <w:r>
              <w:rPr>
                <w:b/>
                <w:bCs/>
                <w:color w:val="0B1220"/>
                <w:sz w:val="18"/>
                <w:szCs w:val="18"/>
              </w:rPr>
              <w:t xml:space="preserve">ACC对接“,”终评</w:t>
            </w:r>
          </w:p>
        </w:tc>
      </w:tr>
      <w:tr>
        <w:trPr>
          <w:cantSplit/>
        </w:trPr>
        <w:tc>
          <w:tcPr>
            <w:tcW w:type="pct" w:w="5%"/>
            <w:tcMar>
              <w:top w:type="dxa" w:w="50"/>
              <w:left w:type="dxa" w:w="80"/>
              <w:bottom w:type="dxa" w:w="50"/>
              <w:right w:type="dxa" w:w="80"/>
            </w:tcMar>
          </w:tcPr>
          <w:p>
            <w:pPr>
              <w:spacing w:line="260"/>
            </w:pPr>
            <w:r>
              <w:rPr>
                <w:b w:val="false"/>
                <w:bCs w:val="false"/>
                <w:color w:val="182030"/>
                <w:sz w:val="18"/>
                <w:szCs w:val="18"/>
              </w:rPr>
              <w:t xml:space="preserve">1</w:t>
            </w:r>
          </w:p>
        </w:tc>
        <w:tc>
          <w:tcPr>
            <w:tcW w:type="pct" w:w="17%"/>
            <w:tcMar>
              <w:top w:type="dxa" w:w="50"/>
              <w:left w:type="dxa" w:w="80"/>
              <w:bottom w:type="dxa" w:w="50"/>
              <w:right w:type="dxa" w:w="80"/>
            </w:tcMar>
          </w:tcPr>
          <w:p>
            <w:pPr>
              <w:spacing w:line="260"/>
            </w:pPr>
            <w:r>
              <w:rPr>
                <w:b w:val="false"/>
                <w:bCs w:val="false"/>
                <w:color w:val="182030"/>
                <w:sz w:val="18"/>
                <w:szCs w:val="18"/>
              </w:rPr>
              <w:t xml:space="preserve">白花蛇舌草</w:t>
            </w:r>
          </w:p>
        </w:tc>
        <w:tc>
          <w:tcPr>
            <w:tcW w:type="pct" w:w="20%"/>
            <w:tcMar>
              <w:top w:type="dxa" w:w="50"/>
              <w:left w:type="dxa" w:w="80"/>
              <w:bottom w:type="dxa" w:w="50"/>
              <w:right w:type="dxa" w:w="80"/>
            </w:tcMar>
          </w:tcPr>
          <w:p>
            <w:pPr>
              <w:spacing w:line="260"/>
            </w:pPr>
            <w:r>
              <w:rPr>
                <w:b w:val="false"/>
                <w:bCs w:val="false"/>
                <w:color w:val="182030"/>
                <w:sz w:val="18"/>
                <w:szCs w:val="18"/>
              </w:rPr>
              <w:t xml:space="preserve">Anthraxin</w:t>
            </w:r>
          </w:p>
        </w:tc>
        <w:tc>
          <w:tcPr>
            <w:tcW w:type="pct" w:w="11%"/>
            <w:tcMar>
              <w:top w:type="dxa" w:w="50"/>
              <w:left w:type="dxa" w:w="80"/>
              <w:bottom w:type="dxa" w:w="50"/>
              <w:right w:type="dxa" w:w="80"/>
            </w:tcMar>
          </w:tcPr>
          <w:p>
            <w:pPr>
              <w:spacing w:line="260"/>
            </w:pPr>
            <w:r>
              <w:rPr>
                <w:b w:val="false"/>
                <w:bCs w:val="false"/>
                <w:color w:val="182030"/>
                <w:sz w:val="18"/>
                <w:szCs w:val="18"/>
              </w:rPr>
              <w:t xml:space="preserve">35.0</w:t>
            </w:r>
          </w:p>
        </w:tc>
        <w:tc>
          <w:tcPr>
            <w:tcW w:type="pct" w:w="11%"/>
            <w:tcMar>
              <w:top w:type="dxa" w:w="50"/>
              <w:left w:type="dxa" w:w="80"/>
              <w:bottom w:type="dxa" w:w="50"/>
              <w:right w:type="dxa" w:w="80"/>
            </w:tcMar>
          </w:tcPr>
          <w:p>
            <w:pPr>
              <w:spacing w:line="260"/>
            </w:pPr>
            <w:r>
              <w:rPr>
                <w:b w:val="false"/>
                <w:bCs w:val="false"/>
                <w:color w:val="182030"/>
                <w:sz w:val="18"/>
                <w:szCs w:val="18"/>
              </w:rPr>
              <w:t xml:space="preserve">-9.34</w:t>
            </w:r>
          </w:p>
        </w:tc>
        <w:tc>
          <w:tcPr>
            <w:tcW w:type="pct" w:w="11%"/>
            <w:tcMar>
              <w:top w:type="dxa" w:w="50"/>
              <w:left w:type="dxa" w:w="80"/>
              <w:bottom w:type="dxa" w:w="50"/>
              <w:right w:type="dxa" w:w="80"/>
            </w:tcMar>
          </w:tcPr>
          <w:p>
            <w:pPr>
              <w:spacing w:line="260"/>
            </w:pPr>
            <w:r>
              <w:rPr>
                <w:b w:val="false"/>
                <w:bCs w:val="false"/>
                <w:color w:val="182030"/>
                <w:sz w:val="18"/>
                <w:szCs w:val="18"/>
              </w:rPr>
              <w:t xml:space="preserve">-9.87</w:t>
            </w:r>
          </w:p>
        </w:tc>
        <w:tc>
          <w:tcPr>
            <w:tcW w:type="pct" w:w="10%"/>
            <w:tcMar>
              <w:top w:type="dxa" w:w="50"/>
              <w:left w:type="dxa" w:w="80"/>
              <w:bottom w:type="dxa" w:w="50"/>
              <w:right w:type="dxa" w:w="80"/>
            </w:tcMar>
          </w:tcPr>
          <w:p>
            <w:pPr>
              <w:spacing w:line="260"/>
            </w:pPr>
            <w:r>
              <w:rPr>
                <w:b w:val="false"/>
                <w:bCs w:val="false"/>
                <w:color w:val="182030"/>
                <w:sz w:val="18"/>
                <w:szCs w:val="18"/>
              </w:rPr>
              <w:t xml:space="preserve">0.792</w:t>
            </w:r>
          </w:p>
        </w:tc>
      </w:tr>
      <w:tr>
        <w:trPr>
          <w:cantSplit/>
        </w:trPr>
        <w:tc>
          <w:tcPr>
            <w:tcW w:type="pct" w:w="5%"/>
            <w:tcMar>
              <w:top w:type="dxa" w:w="50"/>
              <w:left w:type="dxa" w:w="80"/>
              <w:bottom w:type="dxa" w:w="50"/>
              <w:right w:type="dxa" w:w="80"/>
            </w:tcMar>
          </w:tcPr>
          <w:p>
            <w:pPr>
              <w:spacing w:line="260"/>
            </w:pPr>
            <w:r>
              <w:rPr>
                <w:b w:val="false"/>
                <w:bCs w:val="false"/>
                <w:color w:val="182030"/>
                <w:sz w:val="18"/>
                <w:szCs w:val="18"/>
              </w:rPr>
              <w:t xml:space="preserve">2</w:t>
            </w:r>
          </w:p>
        </w:tc>
        <w:tc>
          <w:tcPr>
            <w:tcW w:type="pct" w:w="17%"/>
            <w:tcMar>
              <w:top w:type="dxa" w:w="50"/>
              <w:left w:type="dxa" w:w="80"/>
              <w:bottom w:type="dxa" w:w="50"/>
              <w:right w:type="dxa" w:w="80"/>
            </w:tcMar>
          </w:tcPr>
          <w:p>
            <w:pPr>
              <w:spacing w:line="260"/>
            </w:pPr>
            <w:r>
              <w:rPr>
                <w:b w:val="false"/>
                <w:bCs w:val="false"/>
                <w:color w:val="182030"/>
                <w:sz w:val="18"/>
                <w:szCs w:val="18"/>
              </w:rPr>
              <w:t xml:space="preserve">苣荬菜“,”未名香豆素苷</w:t>
            </w:r>
          </w:p>
        </w:tc>
        <w:tc>
          <w:tcPr>
            <w:tcW w:type="pct" w:w="20%"/>
            <w:tcMar>
              <w:top w:type="dxa" w:w="50"/>
              <w:left w:type="dxa" w:w="80"/>
              <w:bottom w:type="dxa" w:w="50"/>
              <w:right w:type="dxa" w:w="80"/>
            </w:tcMar>
          </w:tcPr>
          <w:p>
            <w:pPr>
              <w:spacing w:line="260"/>
            </w:pPr>
            <w:r>
              <w:rPr>
                <w:b w:val="false"/>
                <w:bCs w:val="false"/>
                <w:color w:val="182030"/>
                <w:sz w:val="18"/>
                <w:szCs w:val="18"/>
              </w:rPr>
              <w:t xml:space="preserve">35.4</w:t>
            </w:r>
          </w:p>
        </w:tc>
        <w:tc>
          <w:tcPr>
            <w:tcW w:type="pct" w:w="11%"/>
            <w:tcMar>
              <w:top w:type="dxa" w:w="50"/>
              <w:left w:type="dxa" w:w="80"/>
              <w:bottom w:type="dxa" w:w="50"/>
              <w:right w:type="dxa" w:w="80"/>
            </w:tcMar>
          </w:tcPr>
          <w:p>
            <w:pPr>
              <w:spacing w:line="260"/>
            </w:pPr>
            <w:r>
              <w:rPr>
                <w:b w:val="false"/>
                <w:bCs w:val="false"/>
                <w:color w:val="182030"/>
                <w:sz w:val="18"/>
                <w:szCs w:val="18"/>
              </w:rPr>
              <w:t xml:space="preserve">-9.37</w:t>
            </w:r>
          </w:p>
        </w:tc>
        <w:tc>
          <w:tcPr>
            <w:tcW w:type="pct" w:w="11%"/>
            <w:tcMar>
              <w:top w:type="dxa" w:w="50"/>
              <w:left w:type="dxa" w:w="80"/>
              <w:bottom w:type="dxa" w:w="50"/>
              <w:right w:type="dxa" w:w="80"/>
            </w:tcMar>
          </w:tcPr>
          <w:p>
            <w:pPr>
              <w:spacing w:line="260"/>
            </w:pPr>
            <w:r>
              <w:rPr>
                <w:b w:val="false"/>
                <w:bCs w:val="false"/>
                <w:color w:val="182030"/>
                <w:sz w:val="18"/>
                <w:szCs w:val="18"/>
              </w:rPr>
              <w:t xml:space="preserve">-9.35</w:t>
            </w:r>
          </w:p>
        </w:tc>
        <w:tc>
          <w:tcPr>
            <w:tcW w:type="pct" w:w="11%"/>
            <w:tcMar>
              <w:top w:type="dxa" w:w="50"/>
              <w:left w:type="dxa" w:w="80"/>
              <w:bottom w:type="dxa" w:w="50"/>
              <w:right w:type="dxa" w:w="80"/>
            </w:tcMar>
          </w:tcPr>
          <w:p>
            <w:pPr>
              <w:spacing w:line="260"/>
            </w:pPr>
            <w:r>
              <w:rPr>
                <w:b w:val="false"/>
                <w:bCs w:val="false"/>
                <w:color w:val="182030"/>
                <w:sz w:val="18"/>
                <w:szCs w:val="18"/>
              </w:rPr>
              <w:t xml:space="preserve">0.789</w:t>
            </w:r>
          </w:p>
        </w:tc>
      </w:tr>
      <w:tr>
        <w:trPr>
          <w:cantSplit/>
        </w:trPr>
        <w:tc>
          <w:tcPr>
            <w:tcW w:type="pct" w:w="5%"/>
            <w:tcMar>
              <w:top w:type="dxa" w:w="50"/>
              <w:left w:type="dxa" w:w="80"/>
              <w:bottom w:type="dxa" w:w="50"/>
              <w:right w:type="dxa" w:w="80"/>
            </w:tcMar>
          </w:tcPr>
          <w:p>
            <w:pPr>
              <w:spacing w:line="260"/>
            </w:pPr>
            <w:r>
              <w:rPr>
                <w:b w:val="false"/>
                <w:bCs w:val="false"/>
                <w:color w:val="182030"/>
                <w:sz w:val="18"/>
                <w:szCs w:val="18"/>
              </w:rPr>
              <w:t xml:space="preserve">3</w:t>
            </w:r>
          </w:p>
        </w:tc>
        <w:tc>
          <w:tcPr>
            <w:tcW w:type="pct" w:w="17%"/>
            <w:tcMar>
              <w:top w:type="dxa" w:w="50"/>
              <w:left w:type="dxa" w:w="80"/>
              <w:bottom w:type="dxa" w:w="50"/>
              <w:right w:type="dxa" w:w="80"/>
            </w:tcMar>
          </w:tcPr>
          <w:p>
            <w:pPr>
              <w:spacing w:line="260"/>
            </w:pPr>
            <w:r>
              <w:rPr>
                <w:b w:val="false"/>
                <w:bCs w:val="false"/>
                <w:color w:val="182030"/>
                <w:sz w:val="18"/>
                <w:szCs w:val="18"/>
              </w:rPr>
              <w:t xml:space="preserve">甘草</w:t>
            </w:r>
          </w:p>
        </w:tc>
        <w:tc>
          <w:tcPr>
            <w:tcW w:type="pct" w:w="20%"/>
            <w:tcMar>
              <w:top w:type="dxa" w:w="50"/>
              <w:left w:type="dxa" w:w="80"/>
              <w:bottom w:type="dxa" w:w="50"/>
              <w:right w:type="dxa" w:w="80"/>
            </w:tcMar>
          </w:tcPr>
          <w:p>
            <w:pPr>
              <w:spacing w:line="260"/>
            </w:pPr>
            <w:r>
              <w:rPr>
                <w:b w:val="false"/>
                <w:bCs w:val="false"/>
                <w:color w:val="182030"/>
                <w:sz w:val="18"/>
                <w:szCs w:val="18"/>
              </w:rPr>
              <w:t xml:space="preserve">Derrone</w:t>
            </w:r>
          </w:p>
        </w:tc>
        <w:tc>
          <w:tcPr>
            <w:tcW w:type="pct" w:w="11%"/>
            <w:tcMar>
              <w:top w:type="dxa" w:w="50"/>
              <w:left w:type="dxa" w:w="80"/>
              <w:bottom w:type="dxa" w:w="50"/>
              <w:right w:type="dxa" w:w="80"/>
            </w:tcMar>
          </w:tcPr>
          <w:p>
            <w:pPr>
              <w:spacing w:line="260"/>
            </w:pPr>
            <w:r>
              <w:rPr>
                <w:b w:val="false"/>
                <w:bCs w:val="false"/>
                <w:color w:val="182030"/>
                <w:sz w:val="18"/>
                <w:szCs w:val="18"/>
              </w:rPr>
              <w:t xml:space="preserve">34.7</w:t>
            </w:r>
          </w:p>
        </w:tc>
        <w:tc>
          <w:tcPr>
            <w:tcW w:type="pct" w:w="11%"/>
            <w:tcMar>
              <w:top w:type="dxa" w:w="50"/>
              <w:left w:type="dxa" w:w="80"/>
              <w:bottom w:type="dxa" w:w="50"/>
              <w:right w:type="dxa" w:w="80"/>
            </w:tcMar>
          </w:tcPr>
          <w:p>
            <w:pPr>
              <w:spacing w:line="260"/>
            </w:pPr>
            <w:r>
              <w:rPr>
                <w:b w:val="false"/>
                <w:bCs w:val="false"/>
                <w:color w:val="182030"/>
                <w:sz w:val="18"/>
                <w:szCs w:val="18"/>
              </w:rPr>
              <w:t xml:space="preserve">-10.17</w:t>
            </w:r>
          </w:p>
        </w:tc>
        <w:tc>
          <w:tcPr>
            <w:tcW w:type="pct" w:w="11%"/>
            <w:tcMar>
              <w:top w:type="dxa" w:w="50"/>
              <w:left w:type="dxa" w:w="80"/>
              <w:bottom w:type="dxa" w:w="50"/>
              <w:right w:type="dxa" w:w="80"/>
            </w:tcMar>
          </w:tcPr>
          <w:p>
            <w:pPr>
              <w:spacing w:line="260"/>
            </w:pPr>
            <w:r>
              <w:rPr>
                <w:b w:val="false"/>
                <w:bCs w:val="false"/>
                <w:color w:val="182030"/>
                <w:sz w:val="18"/>
                <w:szCs w:val="18"/>
              </w:rPr>
              <w:t xml:space="preserve">-8.72</w:t>
            </w:r>
          </w:p>
        </w:tc>
        <w:tc>
          <w:tcPr>
            <w:tcW w:type="pct" w:w="10%"/>
            <w:tcMar>
              <w:top w:type="dxa" w:w="50"/>
              <w:left w:type="dxa" w:w="80"/>
              <w:bottom w:type="dxa" w:w="50"/>
              <w:right w:type="dxa" w:w="80"/>
            </w:tcMar>
          </w:tcPr>
          <w:p>
            <w:pPr>
              <w:spacing w:line="260"/>
            </w:pPr>
            <w:r>
              <w:rPr>
                <w:b w:val="false"/>
                <w:bCs w:val="false"/>
                <w:color w:val="182030"/>
                <w:sz w:val="18"/>
                <w:szCs w:val="18"/>
              </w:rPr>
              <w:t xml:space="preserve">0.786</w:t>
            </w:r>
          </w:p>
        </w:tc>
      </w:tr>
      <w:tr>
        <w:trPr>
          <w:cantSplit/>
        </w:trPr>
        <w:tc>
          <w:tcPr>
            <w:tcW w:type="pct" w:w="5%"/>
            <w:tcMar>
              <w:top w:type="dxa" w:w="50"/>
              <w:left w:type="dxa" w:w="80"/>
              <w:bottom w:type="dxa" w:w="50"/>
              <w:right w:type="dxa" w:w="80"/>
            </w:tcMar>
          </w:tcPr>
          <w:p>
            <w:pPr>
              <w:spacing w:line="260"/>
            </w:pPr>
            <w:r>
              <w:rPr>
                <w:b w:val="false"/>
                <w:bCs w:val="false"/>
                <w:color w:val="182030"/>
                <w:sz w:val="18"/>
                <w:szCs w:val="18"/>
              </w:rPr>
              <w:t xml:space="preserve">4</w:t>
            </w:r>
          </w:p>
        </w:tc>
        <w:tc>
          <w:tcPr>
            <w:tcW w:type="pct" w:w="17%"/>
            <w:tcMar>
              <w:top w:type="dxa" w:w="50"/>
              <w:left w:type="dxa" w:w="80"/>
              <w:bottom w:type="dxa" w:w="50"/>
              <w:right w:type="dxa" w:w="80"/>
            </w:tcMar>
          </w:tcPr>
          <w:p>
            <w:pPr>
              <w:spacing w:line="260"/>
            </w:pPr>
            <w:r>
              <w:rPr>
                <w:b w:val="false"/>
                <w:bCs w:val="false"/>
                <w:color w:val="182030"/>
                <w:sz w:val="18"/>
                <w:szCs w:val="18"/>
              </w:rPr>
              <w:t xml:space="preserve">地耳草（田基黄）</w:t>
            </w:r>
          </w:p>
        </w:tc>
        <w:tc>
          <w:tcPr>
            <w:tcW w:type="pct" w:w="20%"/>
            <w:tcMar>
              <w:top w:type="dxa" w:w="50"/>
              <w:left w:type="dxa" w:w="80"/>
              <w:bottom w:type="dxa" w:w="50"/>
              <w:right w:type="dxa" w:w="80"/>
            </w:tcMar>
          </w:tcPr>
          <w:p>
            <w:pPr>
              <w:spacing w:line="260"/>
            </w:pPr>
            <w:r>
              <w:rPr>
                <w:b w:val="false"/>
                <w:bCs w:val="false"/>
                <w:color w:val="182030"/>
                <w:sz w:val="18"/>
                <w:szCs w:val="18"/>
              </w:rPr>
              <w:t xml:space="preserve">田基黄苷类</w:t>
            </w:r>
          </w:p>
        </w:tc>
        <w:tc>
          <w:tcPr>
            <w:tcW w:type="pct" w:w="11%"/>
            <w:tcMar>
              <w:top w:type="dxa" w:w="50"/>
              <w:left w:type="dxa" w:w="80"/>
              <w:bottom w:type="dxa" w:w="50"/>
              <w:right w:type="dxa" w:w="80"/>
            </w:tcMar>
          </w:tcPr>
          <w:p>
            <w:pPr>
              <w:spacing w:line="260"/>
            </w:pPr>
            <w:r>
              <w:rPr>
                <w:b w:val="false"/>
                <w:bCs w:val="false"/>
                <w:color w:val="182030"/>
                <w:sz w:val="18"/>
                <w:szCs w:val="18"/>
              </w:rPr>
              <w:t xml:space="preserve">35.4</w:t>
            </w:r>
          </w:p>
        </w:tc>
        <w:tc>
          <w:tcPr>
            <w:tcW w:type="pct" w:w="11%"/>
            <w:tcMar>
              <w:top w:type="dxa" w:w="50"/>
              <w:left w:type="dxa" w:w="80"/>
              <w:bottom w:type="dxa" w:w="50"/>
              <w:right w:type="dxa" w:w="80"/>
            </w:tcMar>
          </w:tcPr>
          <w:p>
            <w:pPr>
              <w:spacing w:line="260"/>
            </w:pPr>
            <w:r>
              <w:rPr>
                <w:b w:val="false"/>
                <w:bCs w:val="false"/>
                <w:color w:val="182030"/>
                <w:sz w:val="18"/>
                <w:szCs w:val="18"/>
              </w:rPr>
              <w:t xml:space="preserve">-8.88</w:t>
            </w:r>
          </w:p>
        </w:tc>
        <w:tc>
          <w:tcPr>
            <w:tcW w:type="pct" w:w="11%"/>
            <w:tcMar>
              <w:top w:type="dxa" w:w="50"/>
              <w:left w:type="dxa" w:w="80"/>
              <w:bottom w:type="dxa" w:w="50"/>
              <w:right w:type="dxa" w:w="80"/>
            </w:tcMar>
          </w:tcPr>
          <w:p>
            <w:pPr>
              <w:spacing w:line="260"/>
            </w:pPr>
            <w:r>
              <w:rPr>
                <w:b w:val="false"/>
                <w:bCs w:val="false"/>
                <w:color w:val="182030"/>
                <w:sz w:val="18"/>
                <w:szCs w:val="18"/>
              </w:rPr>
              <w:t xml:space="preserve">-8.45</w:t>
            </w:r>
          </w:p>
        </w:tc>
        <w:tc>
          <w:tcPr>
            <w:tcW w:type="pct" w:w="10%"/>
            <w:tcMar>
              <w:top w:type="dxa" w:w="50"/>
              <w:left w:type="dxa" w:w="80"/>
              <w:bottom w:type="dxa" w:w="50"/>
              <w:right w:type="dxa" w:w="80"/>
            </w:tcMar>
          </w:tcPr>
          <w:p>
            <w:pPr>
              <w:spacing w:line="260"/>
            </w:pPr>
            <w:r>
              <w:rPr>
                <w:b w:val="false"/>
                <w:bCs w:val="false"/>
                <w:color w:val="182030"/>
                <w:sz w:val="18"/>
                <w:szCs w:val="18"/>
              </w:rPr>
              <w:t xml:space="preserve">0.772</w:t>
            </w:r>
          </w:p>
        </w:tc>
      </w:tr>
      <w:tr>
        <w:trPr>
          <w:cantSplit/>
        </w:trPr>
        <w:tc>
          <w:tcPr>
            <w:tcW w:type="pct" w:w="5%"/>
            <w:tcMar>
              <w:top w:type="dxa" w:w="50"/>
              <w:left w:type="dxa" w:w="80"/>
              <w:bottom w:type="dxa" w:w="50"/>
              <w:right w:type="dxa" w:w="80"/>
            </w:tcMar>
          </w:tcPr>
          <w:p>
            <w:pPr>
              <w:spacing w:line="260"/>
            </w:pPr>
            <w:r>
              <w:rPr>
                <w:b w:val="false"/>
                <w:bCs w:val="false"/>
                <w:color w:val="182030"/>
                <w:sz w:val="18"/>
                <w:szCs w:val="18"/>
              </w:rPr>
              <w:t xml:space="preserve">5</w:t>
            </w:r>
          </w:p>
        </w:tc>
        <w:tc>
          <w:tcPr>
            <w:tcW w:type="pct" w:w="17%"/>
            <w:tcMar>
              <w:top w:type="dxa" w:w="50"/>
              <w:left w:type="dxa" w:w="80"/>
              <w:bottom w:type="dxa" w:w="50"/>
              <w:right w:type="dxa" w:w="80"/>
            </w:tcMar>
          </w:tcPr>
          <w:p>
            <w:pPr>
              <w:spacing w:line="260"/>
            </w:pPr>
            <w:r>
              <w:rPr>
                <w:b w:val="false"/>
                <w:bCs w:val="false"/>
                <w:color w:val="182030"/>
                <w:sz w:val="18"/>
                <w:szCs w:val="18"/>
              </w:rPr>
              <w:t xml:space="preserve">黄芪“,”未名异黄酮苷</w:t>
            </w:r>
          </w:p>
        </w:tc>
        <w:tc>
          <w:tcPr>
            <w:tcW w:type="pct" w:w="20%"/>
            <w:tcMar>
              <w:top w:type="dxa" w:w="50"/>
              <w:left w:type="dxa" w:w="80"/>
              <w:bottom w:type="dxa" w:w="50"/>
              <w:right w:type="dxa" w:w="80"/>
            </w:tcMar>
          </w:tcPr>
          <w:p>
            <w:pPr>
              <w:spacing w:line="260"/>
            </w:pPr>
            <w:r>
              <w:rPr>
                <w:b w:val="false"/>
                <w:bCs w:val="false"/>
                <w:color w:val="182030"/>
                <w:sz w:val="18"/>
                <w:szCs w:val="18"/>
              </w:rPr>
              <w:t xml:space="preserve">35.3</w:t>
            </w:r>
          </w:p>
        </w:tc>
        <w:tc>
          <w:tcPr>
            <w:tcW w:type="pct" w:w="11%"/>
            <w:tcMar>
              <w:top w:type="dxa" w:w="50"/>
              <w:left w:type="dxa" w:w="80"/>
              <w:bottom w:type="dxa" w:w="50"/>
              <w:right w:type="dxa" w:w="80"/>
            </w:tcMar>
          </w:tcPr>
          <w:p>
            <w:pPr>
              <w:spacing w:line="260"/>
            </w:pPr>
            <w:r>
              <w:rPr>
                <w:b w:val="false"/>
                <w:bCs w:val="false"/>
                <w:color w:val="182030"/>
                <w:sz w:val="18"/>
                <w:szCs w:val="18"/>
              </w:rPr>
              <w:t xml:space="preserve">-7.27</w:t>
            </w:r>
          </w:p>
        </w:tc>
        <w:tc>
          <w:tcPr>
            <w:tcW w:type="pct" w:w="11%"/>
            <w:tcMar>
              <w:top w:type="dxa" w:w="50"/>
              <w:left w:type="dxa" w:w="80"/>
              <w:bottom w:type="dxa" w:w="50"/>
              <w:right w:type="dxa" w:w="80"/>
            </w:tcMar>
          </w:tcPr>
          <w:p>
            <w:pPr>
              <w:spacing w:line="260"/>
            </w:pPr>
            <w:r>
              <w:rPr>
                <w:b w:val="false"/>
                <w:bCs w:val="false"/>
                <w:color w:val="182030"/>
                <w:sz w:val="18"/>
                <w:szCs w:val="18"/>
              </w:rPr>
              <w:t xml:space="preserve">-10.05</w:t>
            </w:r>
          </w:p>
        </w:tc>
        <w:tc>
          <w:tcPr>
            <w:tcW w:type="pct" w:w="11%"/>
            <w:tcMar>
              <w:top w:type="dxa" w:w="50"/>
              <w:left w:type="dxa" w:w="80"/>
              <w:bottom w:type="dxa" w:w="50"/>
              <w:right w:type="dxa" w:w="80"/>
            </w:tcMar>
          </w:tcPr>
          <w:p>
            <w:pPr>
              <w:spacing w:line="260"/>
            </w:pPr>
            <w:r>
              <w:rPr>
                <w:b w:val="false"/>
                <w:bCs w:val="false"/>
                <w:color w:val="182030"/>
                <w:sz w:val="18"/>
                <w:szCs w:val="18"/>
              </w:rPr>
              <w:t xml:space="preserve">0.771</w:t>
            </w:r>
          </w:p>
        </w:tc>
      </w:tr>
    </w:tbl>
    <w:p>
      <w:pPr>
        <w:spacing w:after="80" w:line="312"/>
        <w:ind w:firstLine="440"/>
        <w:jc w:val="both"/>
      </w:pPr>
      <w:r>
        <w:rPr>
          <w:color w:val="182030"/>
          <w:sz w:val="24"/>
          <w:szCs w:val="24"/>
        </w:rPr>
        <w:t xml:space="preserve">在组合层面推荐两个全中药组方：组方甲为白花蛇舌草Anthraxin（代谢轴）联合积雪草苷元asiatic acid（纤维化轴，有转化生长因子β/Smad通路的直接文献支持）；组方乙为田基黄苷联合甘草Derrone（代谢双轴）。牛樟芝antcin K与小檗碱建议作为实验阳性对照。</w:t>
      </w:r>
    </w:p>
    <w:p>
      <w:pPr>
        <w:pStyle w:val="Heading1"/>
        <w:spacing w:after="140" w:before="330" w:line="312"/>
      </w:pPr>
      <w:r>
        <w:rPr>
          <w:rFonts w:ascii="Times New Roman" w:eastAsia="SimHei"/>
          <w:b/>
          <w:bCs/>
          <w:color w:val="0B1220"/>
        </w:rPr>
        <w:t xml:space="preserve">五、存在的不足</w:t>
      </w:r>
    </w:p>
    <w:p>
      <w:pPr>
        <w:spacing w:after="80" w:line="312"/>
        <w:ind w:firstLine="440"/>
        <w:jc w:val="both"/>
      </w:pPr>
      <w:r>
        <w:rPr>
          <w:color w:val="182030"/>
          <w:sz w:val="24"/>
          <w:szCs w:val="24"/>
        </w:rPr>
        <w:t xml:space="preserve">如实列示当前工作的八项不足及对应改进方案。</w:t>
      </w:r>
    </w:p>
    <w:tbl>
      <w:tblPr>
        <w:tblW w:type="pct" w:w="100%"/>
        <w:tblBorders>
          <w:top w:val="single" w:color="9AA6B2" w:sz="2"/>
          <w:left w:val="none" w:color="FFFFFF" w:sz="0"/>
          <w:bottom w:val="single" w:color="9AA6B2" w:sz="2"/>
          <w:right w:val="none" w:color="FFFFFF" w:sz="0"/>
          <w:insideH w:val="single" w:color="D0D0D0" w:sz="1"/>
          <w:insideV w:val="none" w:color="FFFFFF" w:sz="0"/>
        </w:tblBorders>
      </w:tblPr>
      <w:tblGrid>
        <w:gridCol w:w="100"/>
        <w:gridCol w:w="100"/>
      </w:tblGrid>
      <w:tr>
        <w:trPr>
          <w:cantSplit/>
          <w:tblHeader/>
        </w:trPr>
        <w:tc>
          <w:tcPr>
            <w:tcW w:type="pct" w:w="15%"/>
            <w:shd w:fill="EDF2F7" w:val="clear"/>
            <w:tcMar>
              <w:top w:type="dxa" w:w="50"/>
              <w:left w:type="dxa" w:w="80"/>
              <w:bottom w:type="dxa" w:w="50"/>
              <w:right w:type="dxa" w:w="80"/>
            </w:tcMar>
          </w:tcPr>
          <w:p>
            <w:pPr>
              <w:spacing w:line="260"/>
            </w:pPr>
            <w:r>
              <w:rPr>
                <w:b/>
                <w:bCs/>
                <w:color w:val="0B1220"/>
                <w:sz w:val="18"/>
                <w:szCs w:val="18"/>
              </w:rPr>
              <w:t xml:space="preserve">不足“,”说明“,”改进方案</w:t>
            </w:r>
          </w:p>
        </w:tc>
      </w:tr>
      <w:tr>
        <w:trPr>
          <w:cantSplit/>
        </w:trPr>
        <w:tc>
          <w:tcPr>
            <w:tcW w:type="pct" w:w="15%"/>
            <w:tcMar>
              <w:top w:type="dxa" w:w="50"/>
              <w:left w:type="dxa" w:w="80"/>
              <w:bottom w:type="dxa" w:w="50"/>
              <w:right w:type="dxa" w:w="80"/>
            </w:tcMar>
          </w:tcPr>
          <w:p>
            <w:pPr>
              <w:spacing w:line="260"/>
            </w:pPr>
            <w:r>
              <w:rPr>
                <w:b w:val="false"/>
                <w:bCs w:val="false"/>
                <w:color w:val="182030"/>
                <w:sz w:val="18"/>
                <w:szCs w:val="18"/>
              </w:rPr>
              <w:t xml:space="preserve">定量模型外推边界“,”天然产物骨架上的预测排序能力未获证明（胆汁酸召回检验失败）</w:t>
            </w:r>
          </w:p>
        </w:tc>
        <w:tc>
          <w:tcPr>
            <w:tcW w:type="pct" w:w="40%"/>
            <w:tcMar>
              <w:top w:type="dxa" w:w="50"/>
              <w:left w:type="dxa" w:w="80"/>
              <w:bottom w:type="dxa" w:w="50"/>
              <w:right w:type="dxa" w:w="80"/>
            </w:tcMar>
          </w:tcPr>
          <w:p>
            <w:pPr>
              <w:spacing w:line="260"/>
            </w:pPr>
            <w:r>
              <w:rPr>
                <w:b w:val="false"/>
                <w:bCs w:val="false"/>
                <w:color w:val="182030"/>
                <w:sz w:val="18"/>
                <w:szCs w:val="18"/>
              </w:rPr>
              <w:t xml:space="preserve">适用域加入分子指纹相似度维度；预测靶谱以报告基因逐一验证</w:t>
            </w:r>
          </w:p>
        </w:tc>
      </w:tr>
      <w:tr>
        <w:trPr>
          <w:cantSplit/>
        </w:trPr>
        <w:tc>
          <w:tcPr>
            <w:tcW w:type="pct" w:w="15%"/>
            <w:tcMar>
              <w:top w:type="dxa" w:w="50"/>
              <w:left w:type="dxa" w:w="80"/>
              <w:bottom w:type="dxa" w:w="50"/>
              <w:right w:type="dxa" w:w="80"/>
            </w:tcMar>
          </w:tcPr>
          <w:p>
            <w:pPr>
              <w:spacing w:line="260"/>
            </w:pPr>
            <w:r>
              <w:rPr>
                <w:b w:val="false"/>
                <w:bCs w:val="false"/>
                <w:color w:val="182030"/>
                <w:sz w:val="18"/>
                <w:szCs w:val="18"/>
              </w:rPr>
              <w:t xml:space="preserve">未名成分待定名“,”中药榜单中苣荬菜与黄芪的最佳成分尚无名称“,”按库内结构溯源并结合核磁复核后命名，方可写入论文</w:t>
            </w:r>
          </w:p>
        </w:tc>
      </w:tr>
      <w:tr>
        <w:trPr>
          <w:cantSplit/>
        </w:trPr>
        <w:tc>
          <w:tcPr>
            <w:tcW w:type="pct" w:w="15%"/>
            <w:tcMar>
              <w:top w:type="dxa" w:w="50"/>
              <w:left w:type="dxa" w:w="80"/>
              <w:bottom w:type="dxa" w:w="50"/>
              <w:right w:type="dxa" w:w="80"/>
            </w:tcMar>
          </w:tcPr>
          <w:p>
            <w:pPr>
              <w:spacing w:line="260"/>
            </w:pPr>
            <w:r>
              <w:rPr>
                <w:b w:val="false"/>
                <w:bCs w:val="false"/>
                <w:color w:val="182030"/>
                <w:sz w:val="18"/>
                <w:szCs w:val="18"/>
              </w:rPr>
              <w:t xml:space="preserve">候选身份待复核</w:t>
            </w:r>
          </w:p>
        </w:tc>
        <w:tc>
          <w:tcPr>
            <w:tcW w:type="pct" w:w="40%"/>
            <w:tcMar>
              <w:top w:type="dxa" w:w="50"/>
              <w:left w:type="dxa" w:w="80"/>
              <w:bottom w:type="dxa" w:w="50"/>
              <w:right w:type="dxa" w:w="80"/>
            </w:tcMar>
          </w:tcPr>
          <w:p>
            <w:pPr>
              <w:spacing w:line="260"/>
            </w:pPr>
            <w:r>
              <w:rPr>
                <w:b w:val="false"/>
                <w:bCs w:val="false"/>
                <w:color w:val="182030"/>
                <w:sz w:val="18"/>
                <w:szCs w:val="18"/>
              </w:rPr>
              <w:t xml:space="preserve">Alternaramide的炎症机制文献存在检索矛盾；Derrone已有抗癌方向文献“,”以NF-κB报告基因实验前置裁决；补充肝病新颖性专项检索</w:t>
            </w:r>
          </w:p>
        </w:tc>
      </w:tr>
      <w:tr>
        <w:trPr>
          <w:cantSplit/>
        </w:trPr>
        <w:tc>
          <w:tcPr>
            <w:tcW w:type="pct" w:w="15%"/>
            <w:tcMar>
              <w:top w:type="dxa" w:w="50"/>
              <w:left w:type="dxa" w:w="80"/>
              <w:bottom w:type="dxa" w:w="50"/>
              <w:right w:type="dxa" w:w="80"/>
            </w:tcMar>
          </w:tcPr>
          <w:p>
            <w:pPr>
              <w:spacing w:line="260"/>
            </w:pPr>
            <w:r>
              <w:rPr>
                <w:b w:val="false"/>
                <w:bCs w:val="false"/>
                <w:color w:val="182030"/>
                <w:sz w:val="18"/>
                <w:szCs w:val="18"/>
              </w:rPr>
              <w:t xml:space="preserve">对接打分系统偏差“,”甾体与大环骨架在部分受体口袋失效或偏低“,”对关键候选补充MM-GBSA重打分与分子动力学模拟</w:t>
            </w:r>
          </w:p>
        </w:tc>
      </w:tr>
      <w:tr>
        <w:trPr>
          <w:cantSplit/>
        </w:trPr>
        <w:tc>
          <w:tcPr>
            <w:tcW w:type="pct" w:w="15%"/>
            <w:tcMar>
              <w:top w:type="dxa" w:w="50"/>
              <w:left w:type="dxa" w:w="80"/>
              <w:bottom w:type="dxa" w:w="50"/>
              <w:right w:type="dxa" w:w="80"/>
            </w:tcMar>
          </w:tcPr>
          <w:p>
            <w:pPr>
              <w:spacing w:line="260"/>
            </w:pPr>
            <w:r>
              <w:rPr>
                <w:b w:val="false"/>
                <w:bCs w:val="false"/>
                <w:color w:val="182030"/>
                <w:sz w:val="18"/>
                <w:szCs w:val="18"/>
              </w:rPr>
              <w:t xml:space="preserve">缺乏湿实验数据“,”全部结论基于计算与文献“,”按第六节三阶段方案执行实验验证</w:t>
            </w:r>
          </w:p>
        </w:tc>
      </w:tr>
      <w:tr>
        <w:trPr>
          <w:cantSplit/>
        </w:trPr>
        <w:tc>
          <w:tcPr>
            <w:tcW w:type="pct" w:w="15%"/>
            <w:tcMar>
              <w:top w:type="dxa" w:w="50"/>
              <w:left w:type="dxa" w:w="80"/>
              <w:bottom w:type="dxa" w:w="50"/>
              <w:right w:type="dxa" w:w="80"/>
            </w:tcMar>
          </w:tcPr>
          <w:p>
            <w:pPr>
              <w:spacing w:line="260"/>
            </w:pPr>
            <w:r>
              <w:rPr>
                <w:b w:val="false"/>
                <w:bCs w:val="false"/>
                <w:color w:val="182030"/>
                <w:sz w:val="18"/>
                <w:szCs w:val="18"/>
              </w:rPr>
              <w:t xml:space="preserve">网络验证为子网版“,”邻近度计算基于查询蛋白互作子网而非全互作组“,”下载完整STRING连接组文件重算z分数</w:t>
            </w:r>
          </w:p>
        </w:tc>
      </w:tr>
      <w:tr>
        <w:trPr>
          <w:cantSplit/>
        </w:trPr>
        <w:tc>
          <w:tcPr>
            <w:tcW w:type="pct" w:w="15%"/>
            <w:tcMar>
              <w:top w:type="dxa" w:w="50"/>
              <w:left w:type="dxa" w:w="80"/>
              <w:bottom w:type="dxa" w:w="50"/>
              <w:right w:type="dxa" w:w="80"/>
            </w:tcMar>
          </w:tcPr>
          <w:p>
            <w:pPr>
              <w:spacing w:line="260"/>
            </w:pPr>
            <w:r>
              <w:rPr>
                <w:b w:val="false"/>
                <w:bCs w:val="false"/>
                <w:color w:val="182030"/>
                <w:sz w:val="18"/>
                <w:szCs w:val="18"/>
              </w:rPr>
              <w:t xml:space="preserve">组合协同为假设“,”组合评分属假设生成器，未经实验裁决“,”以Bliss、Loewe、ZIP三法一致性矩阵实验裁定</w:t>
            </w:r>
          </w:p>
        </w:tc>
      </w:tr>
      <w:tr>
        <w:trPr>
          <w:cantSplit/>
        </w:trPr>
        <w:tc>
          <w:tcPr>
            <w:tcW w:type="pct" w:w="15%"/>
            <w:tcMar>
              <w:top w:type="dxa" w:w="50"/>
              <w:left w:type="dxa" w:w="80"/>
              <w:bottom w:type="dxa" w:w="50"/>
              <w:right w:type="dxa" w:w="80"/>
            </w:tcMar>
          </w:tcPr>
          <w:p>
            <w:pPr>
              <w:spacing w:line="260"/>
            </w:pPr>
            <w:r>
              <w:rPr>
                <w:b w:val="false"/>
                <w:bCs w:val="false"/>
                <w:color w:val="182030"/>
                <w:sz w:val="18"/>
                <w:szCs w:val="18"/>
              </w:rPr>
              <w:t xml:space="preserve">中药清单覆盖有限“,”专项覆盖79味药材，未及全药典“,”扩充地方标准与民族药药材后重筛</w:t>
            </w:r>
          </w:p>
        </w:tc>
      </w:tr>
    </w:tbl>
    <w:p>
      <w:pPr>
        <w:pStyle w:val="Heading1"/>
        <w:spacing w:after="140" w:before="330" w:line="312"/>
      </w:pPr>
      <w:r>
        <w:rPr>
          <w:rFonts w:ascii="Times New Roman" w:eastAsia="SimHei"/>
          <w:b/>
          <w:bCs/>
          <w:color w:val="0B1220"/>
        </w:rPr>
        <w:t xml:space="preserve">六、下一阶段工作计划</w:t>
      </w:r>
    </w:p>
    <w:p>
      <w:pPr>
        <w:pStyle w:val="ListParagraph"/>
        <w:numPr>
          <w:ilvl w:val="0"/>
          <w:numId w:val="1"/>
        </w:numPr>
        <w:spacing w:after="50" w:line="312"/>
      </w:pPr>
      <w:r>
        <w:rPr>
          <w:color w:val="182030"/>
          <w:sz w:val="22"/>
          <w:szCs w:val="22"/>
        </w:rPr>
        <w:t xml:space="preserve">2026年9—10月：采购或发酵获取两份榜单前十名成分；完成未名成分结构定名；完成Alternaramide机制身份与Derrone新颖性复核。</w:t>
      </w:r>
    </w:p>
    <w:p>
      <w:pPr>
        <w:pStyle w:val="ListParagraph"/>
        <w:numPr>
          <w:ilvl w:val="0"/>
          <w:numId w:val="1"/>
        </w:numPr>
        <w:spacing w:after="50" w:line="312"/>
      </w:pPr>
      <w:r>
        <w:rPr>
          <w:color w:val="182030"/>
          <w:sz w:val="22"/>
          <w:szCs w:val="22"/>
        </w:rPr>
        <w:t xml:space="preserve">2026年10—12月：HepG2与Hepa1-6棕榈酸脂变模型单药四点初筛（命中标准：甘油三酯下降不低于30%且细胞活力不低于80%，有效浓度不高于10微摩尔）；组方甲、乙开展六乘六浓度矩阵并以三种协同度量法联合判定。</w:t>
      </w:r>
    </w:p>
    <w:p>
      <w:pPr>
        <w:pStyle w:val="ListParagraph"/>
        <w:numPr>
          <w:ilvl w:val="0"/>
          <w:numId w:val="1"/>
        </w:numPr>
        <w:spacing w:after="50" w:line="312"/>
      </w:pPr>
      <w:r>
        <w:rPr>
          <w:color w:val="182030"/>
          <w:sz w:val="22"/>
          <w:szCs w:val="22"/>
        </w:rPr>
        <w:t xml:space="preserve">2026年12月—2027年1月：机制归属实验（FXR与ACC通路报告基因、转化生长因子β/Smad纤维化轴验证）；以实验数据回填终评公式的证据项并重排榜单。</w:t>
      </w:r>
    </w:p>
    <w:p>
      <w:pPr>
        <w:pStyle w:val="ListParagraph"/>
        <w:numPr>
          <w:ilvl w:val="0"/>
          <w:numId w:val="1"/>
        </w:numPr>
        <w:spacing w:after="50" w:line="312"/>
      </w:pPr>
      <w:r>
        <w:rPr>
          <w:color w:val="182030"/>
          <w:sz w:val="22"/>
          <w:szCs w:val="22"/>
        </w:rPr>
        <w:t xml:space="preserve">2027年春季：AMLN饮食小鼠十二周造模加四周给药（每组八只）；论文撰写与结题材料准备。</w:t>
      </w:r>
    </w:p>
    <w:p>
      <w:pPr>
        <w:pStyle w:val="Heading1"/>
        <w:spacing w:after="140" w:before="330" w:line="312"/>
      </w:pPr>
      <w:r>
        <w:rPr>
          <w:rFonts w:ascii="Times New Roman" w:eastAsia="SimHei"/>
          <w:b/>
          <w:bCs/>
          <w:color w:val="0B1220"/>
        </w:rPr>
        <w:t xml:space="preserve">七、结语</w:t>
      </w:r>
    </w:p>
    <w:p>
      <w:pPr>
        <w:spacing w:after="80" w:line="312"/>
        <w:ind w:firstLine="440"/>
        <w:jc w:val="both"/>
      </w:pPr>
      <w:r>
        <w:rPr>
          <w:color w:val="182030"/>
          <w:sz w:val="24"/>
          <w:szCs w:val="24"/>
        </w:rPr>
        <w:t xml:space="preserve">暑期工作按“验证—建模—检验—升级—交付”的次序完成了从申报书原方案到多靶点组合框架的完整深化：病理层面确认了靶点的疾病相关性，建模层面以严格检验界定了单靶点预测的适用边界，筛选层面在七十余万天然产物中建立了多靶点评估体系，核证层面确认了候选的研究空白，最终交付全域与中药两份候选榜单及全中药组方。下一阶段的核心是将计算假设交付实验裁决，使榜单中至少一个候选或一组组合获得细胞与动物层面的正面证据。</w:t>
      </w:r>
    </w:p>
    <w:sectPr>
      <w:headerReference w:type="default" r:id="rId7"/>
      <w:footerReference w:type="default" r:id="rId8"/>
      <w:pgSz w:w="11906" w:h="16838" w:orient="portrait"/>
      <w:pgMar w:top="1400" w:right="1417" w:bottom="140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8"/>
        <w:szCs w:val="18"/>
      </w:rPr>
      <w:t xml:space="preserve">抗MASH天然药物筛选项目·暑假中期报告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820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2026-08-18T08:39:50.669Z</dcterms:created>
  <dcterms:modified xsi:type="dcterms:W3CDTF">2026-08-18T08:39:50.670Z</dcterms:modified>
</cp:coreProperties>
</file>

<file path=docProps/custom.xml><?xml version="1.0" encoding="utf-8"?>
<Properties xmlns="http://schemas.openxmlformats.org/officeDocument/2006/custom-properties" xmlns:vt="http://schemas.openxmlformats.org/officeDocument/2006/docPropsVTypes"/>
</file>