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footer+xml" PartName="/word/footer1.xml"/>
  <Override ContentType="application/vnd.openxmlformats-officedocument.wordprocessingml.header+xml" PartName="/word/header1.xml"/>
  <Override ContentType="application/vnd.openxmlformats-officedocument.wordprocessingml.footer+xml" PartName="/word/footer2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tbl>
      <w:tblPr>
        <w:tblW w:type="pct" w:w="100%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100"/>
      </w:tblGrid>
      <w:tr>
        <w:trPr>
          <w:trHeight w:val="16838" w:hRule="exact"/>
        </w:trP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FFFFF" w:val="clear"/>
            <w:tcMar>
              <w:left w:type="dxa" w:w="1701"/>
              <w:right w:type="dxa" w:w="1701"/>
            </w:tcMar>
            <w:vAlign w:val="top"/>
          </w:tcPr>
          <w:p>
            <w:pPr>
              <w:spacing w:before="3526"/>
            </w:pPr>
          </w:p>
          <w:p>
            <w:pPr>
              <w:spacing w:after="400"/>
              <w:jc w:val="center"/>
            </w:pPr>
            <w:r>
              <w:rPr>
                <w:rFonts w:ascii="Times New Roman" w:eastAsia="SimSun"/>
                <w:spacing w:val="40"/>
                <w:sz w:val="44"/>
                <w:szCs w:val="44"/>
              </w:rPr>
              <w:t xml:space="preserve">沈阳药科大学</w:t>
            </w:r>
          </w:p>
          <w:p>
            <w:pPr>
              <w:spacing w:after="120"/>
              <w:jc w:val="center"/>
            </w:pPr>
            <w:r>
              <w:rPr>
                <w:rFonts w:ascii="Times New Roman" w:eastAsia="SimHei"/>
                <w:b/>
                <w:bCs/>
                <w:sz w:val="64"/>
                <w:szCs w:val="64"/>
              </w:rPr>
              <w:t xml:space="preserve">基于贝叶斯图神经网络的</w:t>
            </w:r>
          </w:p>
          <w:p>
            <w:pPr>
              <w:spacing w:after="300"/>
              <w:jc w:val="center"/>
            </w:pPr>
            <w:r>
              <w:rPr>
                <w:rFonts w:ascii="Times New Roman" w:eastAsia="SimHei"/>
                <w:b/>
                <w:bCs/>
                <w:sz w:val="64"/>
                <w:szCs w:val="64"/>
              </w:rPr>
              <w:t xml:space="preserve">抗MASH天然药物筛选项目</w:t>
            </w:r>
          </w:p>
          <w:p>
            <w:pPr>
              <w:spacing w:after="200"/>
              <w:jc w:val="center"/>
            </w:pPr>
            <w:r>
              <w:rPr>
                <w:rFonts w:ascii="Times New Roman" w:eastAsia="SimSun"/>
                <w:sz w:val="30"/>
                <w:szCs w:val="30"/>
              </w:rPr>
              <w:t xml:space="preserve">暑假中间报告</w:t>
            </w:r>
          </w:p>
          <w:p>
            <w:pPr>
              <w:spacing w:before="1279"/>
            </w:pPr>
          </w:p>
          <w:tbl>
            <w:tblPr>
              <w:tblW w:type="pct" w:w="57%"/>
              <w:jc w:val="center"/>
              <w:tblBorders>
                <w:top w:val="none" w:color="FFFFFF" w:sz="0"/>
                <w:left w:val="none" w:color="FFFFFF" w:sz="0"/>
                <w:bottom w:val="none" w:color="FFFFFF" w:sz="0"/>
                <w:right w:val="none" w:color="FFFFFF" w:sz="0"/>
                <w:insideH w:val="none" w:color="FFFFFF" w:sz="0"/>
                <w:insideV w:val="none" w:color="FFFFFF" w:sz="0"/>
              </w:tblBorders>
              <w:tblLayout w:type="fixed"/>
            </w:tblPr>
            <w:tblGrid>
              <w:gridCol w:w="100"/>
              <w:gridCol w:w="100"/>
            </w:tblGrid>
            <w:tr>
              <w:trPr>
                <w:cantSplit/>
              </w:trPr>
              <w:tc>
                <w:tcPr>
                  <w:tcW w:type="pct" w:w="25%"/>
                  <w:tcBorders>
                    <w:top w:val="none" w:color="FFFFFF" w:sz="0"/>
                    <w:left w:val="none" w:color="FFFFFF" w:sz="0"/>
                    <w:bottom w:val="none" w:color="FFFFFF" w:sz="0"/>
                    <w:right w:val="none" w:color="FFFFFF" w:sz="0"/>
                  </w:tcBorders>
                  <w:tcMar>
                    <w:top w:type="dxa" w:w="60"/>
                    <w:left w:type="dxa" w:w="0"/>
                    <w:bottom w:type="dxa" w:w="60"/>
                    <w:right w:type="dxa" w:w="0"/>
                  </w:tcMar>
                </w:tcPr>
                <w:p>
                  <w:pPr>
                    <w:spacing w:after="60" w:before="60" w:line="400"/>
                    <w:jc w:val="left"/>
                  </w:pPr>
                  <w:r>
                    <w:rPr>
                      <w:rFonts w:ascii="Times New Roman" w:eastAsia="SimSun"/>
                      <w:sz w:val="24"/>
                      <w:szCs w:val="24"/>
                    </w:rPr>
                    <w:t xml:space="preserve">项目类别：</w:t>
                  </w:r>
                </w:p>
              </w:tc>
              <w:tc>
                <w:tcPr>
                  <w:tcW w:type="pct" w:w="75%"/>
                  <w:tcBorders>
                    <w:top w:val="none" w:color="FFFFFF" w:sz="0"/>
                    <w:left w:val="none" w:color="FFFFFF" w:sz="0"/>
                    <w:bottom w:val="single" w:color="000000" w:sz="4"/>
                    <w:right w:val="none" w:color="FFFFFF" w:sz="0"/>
                  </w:tcBorders>
                  <w:tcMar>
                    <w:top w:type="dxa" w:w="60"/>
                    <w:left w:type="dxa" w:w="80"/>
                    <w:bottom w:type="dxa" w:w="60"/>
                    <w:right w:type="dxa" w:w="0"/>
                  </w:tcMar>
                </w:tcPr>
                <w:p>
                  <w:pPr>
                    <w:spacing w:after="60" w:before="60" w:line="400"/>
                    <w:jc w:val="left"/>
                  </w:pPr>
                  <w:r>
                    <w:rPr>
                      <w:rFonts w:ascii="Times New Roman" w:eastAsia="SimSun"/>
                      <w:sz w:val="24"/>
                      <w:szCs w:val="24"/>
                    </w:rPr>
                    <w:t xml:space="preserve">创新训练项目</w:t>
                  </w:r>
                </w:p>
              </w:tc>
            </w:tr>
            <w:tr>
              <w:trPr>
                <w:cantSplit/>
              </w:trPr>
              <w:tc>
                <w:tcPr>
                  <w:tcW w:type="pct" w:w="25%"/>
                  <w:tcBorders>
                    <w:top w:val="none" w:color="FFFFFF" w:sz="0"/>
                    <w:left w:val="none" w:color="FFFFFF" w:sz="0"/>
                    <w:bottom w:val="none" w:color="FFFFFF" w:sz="0"/>
                    <w:right w:val="none" w:color="FFFFFF" w:sz="0"/>
                  </w:tcBorders>
                  <w:tcMar>
                    <w:top w:type="dxa" w:w="60"/>
                    <w:left w:type="dxa" w:w="0"/>
                    <w:bottom w:type="dxa" w:w="60"/>
                    <w:right w:type="dxa" w:w="0"/>
                  </w:tcMar>
                </w:tcPr>
                <w:p>
                  <w:pPr>
                    <w:spacing w:after="60" w:before="60" w:line="400"/>
                    <w:jc w:val="left"/>
                  </w:pPr>
                  <w:r>
                    <w:rPr>
                      <w:rFonts w:ascii="Times New Roman" w:eastAsia="SimSun"/>
                      <w:sz w:val="24"/>
                      <w:szCs w:val="24"/>
                    </w:rPr>
                    <w:t xml:space="preserve">项目负责人：</w:t>
                  </w:r>
                </w:p>
              </w:tc>
              <w:tc>
                <w:tcPr>
                  <w:tcW w:type="pct" w:w="75%"/>
                  <w:tcBorders>
                    <w:top w:val="none" w:color="FFFFFF" w:sz="0"/>
                    <w:left w:val="none" w:color="FFFFFF" w:sz="0"/>
                    <w:bottom w:val="single" w:color="000000" w:sz="4"/>
                    <w:right w:val="none" w:color="FFFFFF" w:sz="0"/>
                  </w:tcBorders>
                  <w:tcMar>
                    <w:top w:type="dxa" w:w="60"/>
                    <w:left w:type="dxa" w:w="80"/>
                    <w:bottom w:type="dxa" w:w="60"/>
                    <w:right w:type="dxa" w:w="0"/>
                  </w:tcMar>
                </w:tcPr>
                <w:p>
                  <w:pPr>
                    <w:spacing w:after="60" w:before="60" w:line="400"/>
                    <w:jc w:val="left"/>
                  </w:pPr>
                  <w:r>
                    <w:rPr>
                      <w:rFonts w:ascii="Times New Roman" w:eastAsia="SimSun"/>
                      <w:sz w:val="24"/>
                      <w:szCs w:val="24"/>
                    </w:rPr>
                    <w:t xml:space="preserve">王启龙</w:t>
                  </w:r>
                </w:p>
              </w:tc>
            </w:tr>
            <w:tr>
              <w:trPr>
                <w:cantSplit/>
              </w:trPr>
              <w:tc>
                <w:tcPr>
                  <w:tcW w:type="pct" w:w="25%"/>
                  <w:tcBorders>
                    <w:top w:val="none" w:color="FFFFFF" w:sz="0"/>
                    <w:left w:val="none" w:color="FFFFFF" w:sz="0"/>
                    <w:bottom w:val="none" w:color="FFFFFF" w:sz="0"/>
                    <w:right w:val="none" w:color="FFFFFF" w:sz="0"/>
                  </w:tcBorders>
                  <w:tcMar>
                    <w:top w:type="dxa" w:w="60"/>
                    <w:left w:type="dxa" w:w="0"/>
                    <w:bottom w:type="dxa" w:w="60"/>
                    <w:right w:type="dxa" w:w="0"/>
                  </w:tcMar>
                </w:tcPr>
                <w:p>
                  <w:pPr>
                    <w:spacing w:after="60" w:before="60" w:line="400"/>
                    <w:jc w:val="left"/>
                  </w:pPr>
                  <w:r>
                    <w:rPr>
                      <w:rFonts w:ascii="Times New Roman" w:eastAsia="SimSun"/>
                      <w:sz w:val="24"/>
                      <w:szCs w:val="24"/>
                    </w:rPr>
                    <w:t xml:space="preserve">指导教师：</w:t>
                  </w:r>
                </w:p>
              </w:tc>
              <w:tc>
                <w:tcPr>
                  <w:tcW w:type="pct" w:w="75%"/>
                  <w:tcBorders>
                    <w:top w:val="none" w:color="FFFFFF" w:sz="0"/>
                    <w:left w:val="none" w:color="FFFFFF" w:sz="0"/>
                    <w:bottom w:val="single" w:color="000000" w:sz="4"/>
                    <w:right w:val="none" w:color="FFFFFF" w:sz="0"/>
                  </w:tcBorders>
                  <w:tcMar>
                    <w:top w:type="dxa" w:w="60"/>
                    <w:left w:type="dxa" w:w="80"/>
                    <w:bottom w:type="dxa" w:w="60"/>
                    <w:right w:type="dxa" w:w="0"/>
                  </w:tcMar>
                </w:tcPr>
                <w:p>
                  <w:pPr>
                    <w:spacing w:after="60" w:before="60" w:line="400"/>
                    <w:jc w:val="left"/>
                  </w:pPr>
                  <w:r>
                    <w:rPr>
                      <w:rFonts w:ascii="Times New Roman" w:eastAsia="SimSun"/>
                      <w:sz w:val="24"/>
                      <w:szCs w:val="24"/>
                    </w:rPr>
                    <w:t xml:space="preserve">姜希伟</w:t>
                  </w:r>
                </w:p>
              </w:tc>
            </w:tr>
            <w:tr>
              <w:trPr>
                <w:cantSplit/>
              </w:trPr>
              <w:tc>
                <w:tcPr>
                  <w:tcW w:type="pct" w:w="25%"/>
                  <w:tcBorders>
                    <w:top w:val="none" w:color="FFFFFF" w:sz="0"/>
                    <w:left w:val="none" w:color="FFFFFF" w:sz="0"/>
                    <w:bottom w:val="none" w:color="FFFFFF" w:sz="0"/>
                    <w:right w:val="none" w:color="FFFFFF" w:sz="0"/>
                  </w:tcBorders>
                  <w:tcMar>
                    <w:top w:type="dxa" w:w="60"/>
                    <w:left w:type="dxa" w:w="0"/>
                    <w:bottom w:type="dxa" w:w="60"/>
                    <w:right w:type="dxa" w:w="0"/>
                  </w:tcMar>
                </w:tcPr>
                <w:p>
                  <w:pPr>
                    <w:spacing w:after="60" w:before="60" w:line="400"/>
                    <w:jc w:val="left"/>
                  </w:pPr>
                  <w:r>
                    <w:rPr>
                      <w:rFonts w:ascii="Times New Roman" w:eastAsia="SimSun"/>
                      <w:sz w:val="24"/>
                      <w:szCs w:val="24"/>
                    </w:rPr>
                    <w:t xml:space="preserve">报告期间：</w:t>
                  </w:r>
                </w:p>
              </w:tc>
              <w:tc>
                <w:tcPr>
                  <w:tcW w:type="pct" w:w="75%"/>
                  <w:tcBorders>
                    <w:top w:val="none" w:color="FFFFFF" w:sz="0"/>
                    <w:left w:val="none" w:color="FFFFFF" w:sz="0"/>
                    <w:bottom w:val="single" w:color="000000" w:sz="4"/>
                    <w:right w:val="none" w:color="FFFFFF" w:sz="0"/>
                  </w:tcBorders>
                  <w:tcMar>
                    <w:top w:type="dxa" w:w="60"/>
                    <w:left w:type="dxa" w:w="80"/>
                    <w:bottom w:type="dxa" w:w="60"/>
                    <w:right w:type="dxa" w:w="0"/>
                  </w:tcMar>
                </w:tcPr>
                <w:p>
                  <w:pPr>
                    <w:spacing w:after="60" w:before="60" w:line="400"/>
                    <w:jc w:val="left"/>
                  </w:pPr>
                  <w:r>
                    <w:rPr>
                      <w:rFonts w:ascii="Times New Roman" w:eastAsia="SimSun"/>
                      <w:sz w:val="24"/>
                      <w:szCs w:val="24"/>
                    </w:rPr>
                    <w:t xml:space="preserve">2026年6月—2026年8月</w:t>
                  </w:r>
                </w:p>
              </w:tc>
            </w:tr>
          </w:tbl>
          <w:p>
            <w:pPr>
              <w:spacing w:before="4704"/>
            </w:pPr>
          </w:p>
          <w:p>
            <w:pPr>
              <w:jc w:val="center"/>
            </w:pPr>
            <w:r>
              <w:rPr>
                <w:rFonts w:ascii="Times New Roman" w:eastAsia="SimSun"/>
                <w:color w:val="404040"/>
                <w:sz w:val="24"/>
                <w:szCs w:val="24"/>
              </w:rPr>
              <w:t xml:space="preserve">二〇二六年八月</w:t>
            </w:r>
          </w:p>
        </w:tc>
      </w:tr>
    </w:tbl>
    <w:p>
      <w:pPr>
        <w:sectPr>
          <w:pgSz w:w="11906" w:h="16838" w:orient="portrait"/>
          <w:pgMar w:top="0" w:right="0" w:bottom="0" w:left="0" w:header="708" w:footer="708" w:gutter="0"/>
          <w:pgNumType/>
          <w:docGrid w:linePitch="360"/>
        </w:sectPr>
      </w:pPr>
    </w:p>
    <w:p>
      <w:pPr>
        <w:spacing w:after="240" w:before="240"/>
        <w:jc w:val="center"/>
      </w:pPr>
      <w:r>
        <w:rPr>
          <w:rFonts w:ascii="Times New Roman" w:eastAsia="SimHei"/>
          <w:b/>
          <w:bCs/>
          <w:sz w:val="32"/>
          <w:szCs w:val="32"/>
        </w:rPr>
        <w:t xml:space="preserve">目  录</w:t>
      </w:r>
    </w:p>
    <w:sdt>
      <w:sdtPr>
        <w:alias w:val="目录"/>
      </w:sdtPr>
      <w:sdtContent>
        <w:p>
          <w:r>
            <w:fldChar w:fldCharType="begin" w:dirty="true"/>
          </w:r>
          <w:r>
            <w:instrText xml:space="preserve">TOC \h \o "1-2"</w:instrText>
          </w:r>
          <w:r>
            <w:fldChar w:fldCharType="separate"/>
          </w:r>
        </w:p>
        <w:p>
          <w:pPr>
            <w:pStyle w:val="9"/>
            <w:tabs>
              <w:tab w:val="right" w:leader="dot" w:pos="9026"/>
            </w:tabs>
            <w:spacing w:before="120" w:after="60"/>
          </w:pPr>
          <w:hyperlink w:anchor="_Toc100000" w:history="1">
            <w:r>
              <w:rPr>
                <w:rStyle w:val="Hyperlink"/>
              </w:rPr>
              <w:t>一、暑期工作总览</w:t>
            </w:r>
            <w:r>
              <w:tab/>
            </w:r>
            <w:r>
              <w:fldChar w:fldCharType="begin"/>
            </w:r>
            <w:r>
              <w:instrText xml:space="preserve"> PAGEREF _Toc100000 \h </w:instrText>
            </w:r>
            <w:r>
              <w:fldChar w:fldCharType="separate"/>
            </w:r>
            <w:r>
              <w:t>1</w:t>
            </w:r>
            <w:r>
              <w:fldChar w:fldCharType="end"/>
            </w:r>
          </w:hyperlink>
        </w:p>
        <w:p>
          <w:pPr>
            <w:pStyle w:val="9"/>
            <w:tabs>
              <w:tab w:val="right" w:leader="dot" w:pos="9026"/>
            </w:tabs>
            <w:spacing w:before="120" w:after="60"/>
          </w:pPr>
          <w:hyperlink w:anchor="_Toc100001" w:history="1">
            <w:r>
              <w:rPr>
                <w:rStyle w:val="Hyperlink"/>
              </w:rPr>
              <w:t>二、关键结果摘要</w:t>
            </w:r>
            <w:r>
              <w:tab/>
            </w:r>
            <w:r>
              <w:fldChar w:fldCharType="begin"/>
            </w:r>
            <w:r>
              <w:instrText xml:space="preserve"> PAGEREF _Toc100001 \h </w:instrText>
            </w:r>
            <w:r>
              <w:fldChar w:fldCharType="separate"/>
            </w:r>
            <w:r>
              <w:t>2</w:t>
            </w:r>
            <w:r>
              <w:fldChar w:fldCharType="end"/>
            </w:r>
          </w:hyperlink>
        </w:p>
        <w:p>
          <w:pPr>
            <w:pStyle w:val="9"/>
            <w:tabs>
              <w:tab w:val="right" w:leader="dot" w:pos="9026"/>
            </w:tabs>
            <w:spacing w:before="120" w:after="60"/>
          </w:pPr>
          <w:hyperlink w:anchor="_Toc100002" w:history="1">
            <w:r>
              <w:rPr>
                <w:rStyle w:val="Hyperlink"/>
              </w:rPr>
              <w:t>三、可信度自评与缺点直陈</w:t>
            </w:r>
            <w:r>
              <w:tab/>
            </w:r>
            <w:r>
              <w:fldChar w:fldCharType="begin"/>
            </w:r>
            <w:r>
              <w:instrText xml:space="preserve"> PAGEREF _Toc100002 \h </w:instrText>
            </w:r>
            <w:r>
              <w:fldChar w:fldCharType="separate"/>
            </w:r>
            <w:r>
              <w:t>3</w:t>
            </w:r>
            <w:r>
              <w:fldChar w:fldCharType="end"/>
            </w:r>
          </w:hyperlink>
        </w:p>
        <w:p>
          <w:pPr>
            <w:pStyle w:val="11"/>
            <w:ind w:left="360"/>
            <w:tabs>
              <w:tab w:val="right" w:leader="dot" w:pos="9026"/>
            </w:tabs>
            <w:spacing w:before="120" w:after="60"/>
          </w:pPr>
          <w:hyperlink w:anchor="_Toc100003" w:history="1">
            <w:r>
              <w:rPr>
                <w:rStyle w:val="Hyperlink"/>
              </w:rPr>
              <w:t>3.1 结论可信度分层</w:t>
            </w:r>
            <w:r>
              <w:tab/>
            </w:r>
            <w:r>
              <w:fldChar w:fldCharType="begin"/>
            </w:r>
            <w:r>
              <w:instrText xml:space="preserve"> PAGEREF _Toc100003 \h </w:instrText>
            </w:r>
            <w:r>
              <w:fldChar w:fldCharType="separate"/>
            </w:r>
            <w:r>
              <w:t>3</w:t>
            </w:r>
            <w:r>
              <w:fldChar w:fldCharType="end"/>
            </w:r>
          </w:hyperlink>
        </w:p>
        <w:p>
          <w:pPr>
            <w:pStyle w:val="11"/>
            <w:ind w:left="360"/>
            <w:tabs>
              <w:tab w:val="right" w:leader="dot" w:pos="9026"/>
            </w:tabs>
            <w:spacing w:before="120" w:after="60"/>
          </w:pPr>
          <w:hyperlink w:anchor="_Toc100004" w:history="1">
            <w:r>
              <w:rPr>
                <w:rStyle w:val="Hyperlink"/>
              </w:rPr>
              <w:t>3.2 五个具体缺陷（含证据）</w:t>
            </w:r>
            <w:r>
              <w:tab/>
            </w:r>
            <w:r>
              <w:fldChar w:fldCharType="begin"/>
            </w:r>
            <w:r>
              <w:instrText xml:space="preserve"> PAGEREF _Toc100004 \h </w:instrText>
            </w:r>
            <w:r>
              <w:fldChar w:fldCharType="separate"/>
            </w:r>
            <w:r>
              <w:t>4</w:t>
            </w:r>
            <w:r>
              <w:fldChar w:fldCharType="end"/>
            </w:r>
          </w:hyperlink>
        </w:p>
        <w:p>
          <w:pPr>
            <w:pStyle w:val="11"/>
            <w:ind w:left="360"/>
            <w:tabs>
              <w:tab w:val="right" w:leader="dot" w:pos="9026"/>
            </w:tabs>
            <w:spacing w:before="120" w:after="60"/>
          </w:pPr>
          <w:hyperlink w:anchor="_Toc100005" w:history="1">
            <w:r>
              <w:rPr>
                <w:rStyle w:val="Hyperlink"/>
              </w:rPr>
              <w:t>3.3 其他如实申报的偏差</w:t>
            </w:r>
            <w:r>
              <w:tab/>
            </w:r>
            <w:r>
              <w:fldChar w:fldCharType="begin"/>
            </w:r>
            <w:r>
              <w:instrText xml:space="preserve"> PAGEREF _Toc100005 \h </w:instrText>
            </w:r>
            <w:r>
              <w:fldChar w:fldCharType="separate"/>
            </w:r>
            <w:r>
              <w:t>4</w:t>
            </w:r>
            <w:r>
              <w:fldChar w:fldCharType="end"/>
            </w:r>
          </w:hyperlink>
        </w:p>
        <w:p>
          <w:pPr>
            <w:pStyle w:val="9"/>
            <w:tabs>
              <w:tab w:val="right" w:leader="dot" w:pos="9026"/>
            </w:tabs>
            <w:spacing w:before="120" w:after="60"/>
          </w:pPr>
          <w:hyperlink w:anchor="_Toc100006" w:history="1">
            <w:r>
              <w:rPr>
                <w:rStyle w:val="Hyperlink"/>
              </w:rPr>
              <w:t>四、实际推进进度可信度</w:t>
            </w:r>
            <w:r>
              <w:tab/>
            </w:r>
            <w:r>
              <w:fldChar w:fldCharType="begin"/>
            </w:r>
            <w:r>
              <w:instrText xml:space="preserve"> PAGEREF _Toc100006 \h </w:instrText>
            </w:r>
            <w:r>
              <w:fldChar w:fldCharType="separate"/>
            </w:r>
            <w:r>
              <w:t>5</w:t>
            </w:r>
            <w:r>
              <w:fldChar w:fldCharType="end"/>
            </w:r>
          </w:hyperlink>
        </w:p>
        <w:p>
          <w:pPr>
            <w:pStyle w:val="9"/>
            <w:tabs>
              <w:tab w:val="right" w:leader="dot" w:pos="9026"/>
            </w:tabs>
            <w:spacing w:before="120" w:after="60"/>
          </w:pPr>
          <w:hyperlink w:anchor="_Toc100007" w:history="1">
            <w:r>
              <w:rPr>
                <w:rStyle w:val="Hyperlink"/>
              </w:rPr>
              <w:t>五、中期审查触发的方向修正</w:t>
            </w:r>
            <w:r>
              <w:tab/>
            </w:r>
            <w:r>
              <w:fldChar w:fldCharType="begin"/>
            </w:r>
            <w:r>
              <w:instrText xml:space="preserve"> PAGEREF _Toc100007 \h </w:instrText>
            </w:r>
            <w:r>
              <w:fldChar w:fldCharType="separate"/>
            </w:r>
            <w:r>
              <w:t>5</w:t>
            </w:r>
            <w:r>
              <w:fldChar w:fldCharType="end"/>
            </w:r>
          </w:hyperlink>
        </w:p>
        <w:p>
          <w:pPr>
            <w:pStyle w:val="11"/>
            <w:ind w:left="360"/>
            <w:tabs>
              <w:tab w:val="right" w:leader="dot" w:pos="9026"/>
            </w:tabs>
            <w:spacing w:before="120" w:after="60"/>
          </w:pPr>
          <w:hyperlink w:anchor="_Toc100008" w:history="1">
            <w:r>
              <w:rPr>
                <w:rStyle w:val="Hyperlink"/>
              </w:rPr>
              <w:t>5.1 初版TOP5的创新性不成立（按排除标准执行）</w:t>
            </w:r>
            <w:r>
              <w:tab/>
            </w:r>
            <w:r>
              <w:fldChar w:fldCharType="begin"/>
            </w:r>
            <w:r>
              <w:instrText xml:space="preserve"> PAGEREF _Toc100008 \h </w:instrText>
            </w:r>
            <w:r>
              <w:fldChar w:fldCharType="separate"/>
            </w:r>
            <w:r>
              <w:t>5</w:t>
            </w:r>
            <w:r>
              <w:fldChar w:fldCharType="end"/>
            </w:r>
          </w:hyperlink>
        </w:p>
        <w:p>
          <w:pPr>
            <w:pStyle w:val="11"/>
            <w:ind w:left="360"/>
            <w:tabs>
              <w:tab w:val="right" w:leader="dot" w:pos="9026"/>
            </w:tabs>
            <w:spacing w:before="120" w:after="60"/>
          </w:pPr>
          <w:hyperlink w:anchor="_Toc100009" w:history="1">
            <w:r>
              <w:rPr>
                <w:rStyle w:val="Hyperlink"/>
              </w:rPr>
              <w:t>5.2 冷门药材自主探索（新方向）</w:t>
            </w:r>
            <w:r>
              <w:tab/>
            </w:r>
            <w:r>
              <w:fldChar w:fldCharType="begin"/>
            </w:r>
            <w:r>
              <w:instrText xml:space="preserve"> PAGEREF _Toc100009 \h </w:instrText>
            </w:r>
            <w:r>
              <w:fldChar w:fldCharType="separate"/>
            </w:r>
            <w:r>
              <w:t>6</w:t>
            </w:r>
            <w:r>
              <w:fldChar w:fldCharType="end"/>
            </w:r>
          </w:hyperlink>
        </w:p>
        <w:p>
          <w:pPr>
            <w:pStyle w:val="11"/>
            <w:ind w:left="360"/>
            <w:tabs>
              <w:tab w:val="right" w:leader="dot" w:pos="9026"/>
            </w:tabs>
            <w:spacing w:before="120" w:after="60"/>
          </w:pPr>
          <w:hyperlink w:anchor="_Toc100010" w:history="1">
            <w:r>
              <w:rPr>
                <w:rStyle w:val="Hyperlink"/>
              </w:rPr>
              <w:t>5.3 生物药方向可行性评估</w:t>
            </w:r>
            <w:r>
              <w:tab/>
            </w:r>
            <w:r>
              <w:fldChar w:fldCharType="begin"/>
            </w:r>
            <w:r>
              <w:instrText xml:space="preserve"> PAGEREF _Toc100010 \h </w:instrText>
            </w:r>
            <w:r>
              <w:fldChar w:fldCharType="separate"/>
            </w:r>
            <w:r>
              <w:t>7</w:t>
            </w:r>
            <w:r>
              <w:fldChar w:fldCharType="end"/>
            </w:r>
          </w:hyperlink>
        </w:p>
        <w:p>
          <w:pPr>
            <w:pStyle w:val="9"/>
            <w:tabs>
              <w:tab w:val="right" w:leader="dot" w:pos="9026"/>
            </w:tabs>
            <w:spacing w:before="120" w:after="60"/>
          </w:pPr>
          <w:hyperlink w:anchor="_Toc100011" w:history="1">
            <w:r>
              <w:rPr>
                <w:rStyle w:val="Hyperlink"/>
              </w:rPr>
              <w:t>六、修正后的秋季计划</w:t>
            </w:r>
            <w:r>
              <w:tab/>
            </w:r>
            <w:r>
              <w:fldChar w:fldCharType="begin"/>
            </w:r>
            <w:r>
              <w:instrText xml:space="preserve"> PAGEREF _Toc100011 \h </w:instrText>
            </w:r>
            <w:r>
              <w:fldChar w:fldCharType="separate"/>
            </w:r>
            <w:r>
              <w:t>7</w:t>
            </w:r>
            <w:r>
              <w:fldChar w:fldCharType="end"/>
            </w:r>
          </w:hyperlink>
        </w:p>
        <w:p>
          <w:pPr>
            <w:pStyle w:val="9"/>
            <w:tabs>
              <w:tab w:val="right" w:leader="dot" w:pos="9026"/>
            </w:tabs>
            <w:spacing w:before="120" w:after="60"/>
          </w:pPr>
          <w:hyperlink w:anchor="_Toc100012" w:history="1">
            <w:r>
              <w:rPr>
                <w:rStyle w:val="Hyperlink"/>
              </w:rPr>
              <w:t>七、附录：证据与文件索引</w:t>
            </w:r>
            <w:r>
              <w:tab/>
            </w:r>
            <w:r>
              <w:fldChar w:fldCharType="begin"/>
            </w:r>
            <w:r>
              <w:instrText xml:space="preserve"> PAGEREF _Toc100012 \h </w:instrText>
            </w:r>
            <w:r>
              <w:fldChar w:fldCharType="separate"/>
            </w:r>
            <w:r>
              <w:t>8</w:t>
            </w:r>
            <w:r>
              <w:fldChar w:fldCharType="end"/>
            </w:r>
          </w:hyperlink>
        </w:p>
        <w:p>
          <w:r>
            <w:fldChar w:fldCharType="end"/>
          </w:r>
        </w:p>
      </w:sdtContent>
    </w:sdt>
    <w:p>
      <w:pPr>
        <w:spacing w:before="120"/>
      </w:pPr>
      <w:r>
        <w:rPr>
          <w:i/>
          <w:iCs/>
          <w:color w:val="888888"/>
          <w:sz w:val="18"/>
          <w:szCs w:val="18"/>
        </w:rPr>
        <w:t xml:space="preserve">（提示：在Word中右键目录→更新域以刷新页码）</w:t>
      </w:r>
    </w:p>
    <w:p>
      <w:r>
        <w:br w:type="page"/>
      </w:r>
    </w:p>
    <w:p>
      <w:pPr>
        <w:sectPr>
          <w:footerReference w:type="default" r:id="rId7"/>
          <w:pgSz w:w="11906" w:h="16838" w:orient="portrait"/>
          <w:pgMar w:top="1440" w:right="1417" w:bottom="1440" w:left="1701" w:header="708" w:footer="708" w:gutter="0"/>
          <w:pgNumType w:start="1" w:fmt="lowerRoman"/>
          <w:docGrid w:linePitch="360"/>
        </w:sectPr>
      </w:pPr>
    </w:p>
    <w:p>
      <w:pPr>
        <w:pStyle w:val="Heading1"/>
        <w:spacing w:after="160" w:before="360" w:line="312"/>
      </w:pPr>
      <w:bookmarkStart w:id="100000" w:name="_Toc100000"/>
      <w:r>
        <w:rPr>
          <w:rFonts w:ascii="Times New Roman" w:eastAsia="SimHei"/>
          <w:b/>
          <w:bCs/>
          <w:color w:val="0B1220"/>
        </w:rPr>
        <w:t xml:space="preserve">一、暑期工作总览</w:t>
      </w:r>
      <w:bookmarkEnd w:id="100000"/>
    </w:p>
    <w:p>
      <w:pPr>
        <w:spacing w:after="60" w:line="312"/>
        <w:ind w:firstLine="420"/>
        <w:jc w:val="both"/>
      </w:pPr>
      <w:r>
        <w:rPr>
          <w:b w:val="false"/>
          <w:bCs w:val="false"/>
          <w:color w:val="182030"/>
          <w:sz w:val="22"/>
          <w:szCs w:val="22"/>
        </w:rPr>
        <w:t xml:space="preserve">对照申报书四项研究内容，暑期完成情况如下表。全部数据来自真实公共数据库（GEO、ChEMBL、PubChem、RCSB PDB、KEGG），全部代码与中间结果存档于项目目录，可复现。</w:t>
      </w:r>
    </w:p>
    <w:p>
      <w:pPr>
        <w:keepNext/>
        <w:spacing w:after="80" w:before="120"/>
        <w:jc w:val="center"/>
      </w:pPr>
      <w:r>
        <w:rPr>
          <w:b/>
          <w:bCs/>
          <w:color w:val="506070"/>
          <w:sz w:val="20"/>
          <w:szCs w:val="20"/>
        </w:rPr>
        <w:t xml:space="preserve">表1  申报书研究内容完成情况对照</w:t>
      </w:r>
    </w:p>
    <w:tbl>
      <w:tblPr>
        <w:tblW w:type="pct" w:w="100%"/>
        <w:tblBorders>
          <w:top w:val="single" w:color="9AA6B2" w:sz="2"/>
          <w:left w:val="none" w:color="FFFFFF" w:sz="0"/>
          <w:bottom w:val="single" w:color="9AA6B2" w:sz="2"/>
          <w:right w:val="none" w:color="FFFFFF" w:sz="0"/>
          <w:insideH w:val="single" w:color="D0D0D0" w:sz="1"/>
          <w:insideV w:val="none" w:color="FFFFFF" w:sz="0"/>
        </w:tblBorders>
      </w:tblPr>
      <w:tblGrid>
        <w:gridCol w:w="100"/>
        <w:gridCol w:w="100"/>
        <w:gridCol w:w="100"/>
      </w:tblGrid>
      <w:tr>
        <w:trPr>
          <w:cantSplit/>
          <w:tblHeader/>
        </w:trPr>
        <w:tc>
          <w:tcPr>
            <w:tcW w:type="pct" w:w="24%"/>
            <w:shd w:fill="EDF2F7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line="276"/>
            </w:pPr>
            <w:r>
              <w:rPr>
                <w:b/>
                <w:bCs/>
                <w:color w:val="0B1220"/>
                <w:sz w:val="18"/>
                <w:szCs w:val="18"/>
              </w:rPr>
              <w:t xml:space="preserve">研究内容</w:t>
            </w:r>
          </w:p>
        </w:tc>
        <w:tc>
          <w:tcPr>
            <w:tcW w:type="pct" w:w="22%"/>
            <w:shd w:fill="EDF2F7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line="276"/>
            </w:pPr>
            <w:r>
              <w:rPr>
                <w:b/>
                <w:bCs/>
                <w:color w:val="0B1220"/>
                <w:sz w:val="18"/>
                <w:szCs w:val="18"/>
              </w:rPr>
              <w:t xml:space="preserve">计划暑期完成部分</w:t>
            </w:r>
          </w:p>
        </w:tc>
        <w:tc>
          <w:tcPr>
            <w:tcW w:type="pct" w:w="54%"/>
            <w:shd w:fill="EDF2F7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line="276"/>
            </w:pPr>
            <w:r>
              <w:rPr>
                <w:b/>
                <w:bCs/>
                <w:color w:val="0B1220"/>
                <w:sz w:val="18"/>
                <w:szCs w:val="18"/>
              </w:rPr>
              <w:t xml:space="preserve">实际完成</w:t>
            </w:r>
          </w:p>
        </w:tc>
      </w:tr>
      <w:tr>
        <w:trPr>
          <w:cantSplit/>
        </w:trPr>
        <w:tc>
          <w:tcPr>
            <w:tcW w:type="pct" w:w="24%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line="276"/>
            </w:pPr>
            <w:r>
              <w:rPr>
                <w:b w:val="false"/>
                <w:bCs w:val="false"/>
                <w:color w:val="182030"/>
                <w:sz w:val="18"/>
                <w:szCs w:val="18"/>
              </w:rPr>
              <w:t xml:space="preserve">1 MASH核心靶点转录组学确证</w:t>
            </w:r>
          </w:p>
        </w:tc>
        <w:tc>
          <w:tcPr>
            <w:tcW w:type="pct" w:w="22%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line="276"/>
            </w:pPr>
            <w:r>
              <w:rPr>
                <w:b w:val="false"/>
                <w:bCs w:val="false"/>
                <w:color w:val="182030"/>
                <w:sz w:val="18"/>
                <w:szCs w:val="18"/>
              </w:rPr>
              <w:t xml:space="preserve">文献调研+GEO下载</w:t>
            </w:r>
          </w:p>
        </w:tc>
        <w:tc>
          <w:tcPr>
            <w:tcW w:type="pct" w:w="54%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line="276"/>
            </w:pPr>
            <w:r>
              <w:rPr>
                <w:b w:val="false"/>
                <w:bCs w:val="false"/>
                <w:color w:val="182030"/>
                <w:sz w:val="18"/>
                <w:szCs w:val="18"/>
              </w:rPr>
              <w:t xml:space="preserve">全部完成：GSE135251（n=216），DEG 3,909个，四靶点全部获显著性验证，KEGG富集第一名=胆汁分泌通路</w:t>
            </w:r>
          </w:p>
        </w:tc>
      </w:tr>
      <w:tr>
        <w:trPr>
          <w:cantSplit/>
        </w:trPr>
        <w:tc>
          <w:tcPr>
            <w:tcW w:type="pct" w:w="24%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line="276"/>
            </w:pPr>
            <w:r>
              <w:rPr>
                <w:b w:val="false"/>
                <w:bCs w:val="false"/>
                <w:color w:val="182030"/>
                <w:sz w:val="18"/>
                <w:szCs w:val="18"/>
              </w:rPr>
              <w:t xml:space="preserve">2 高质量活性数据集构建</w:t>
            </w:r>
          </w:p>
        </w:tc>
        <w:tc>
          <w:tcPr>
            <w:tcW w:type="pct" w:w="22%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line="276"/>
            </w:pPr>
            <w:r>
              <w:rPr>
                <w:b w:val="false"/>
                <w:bCs w:val="false"/>
                <w:color w:val="182030"/>
                <w:sz w:val="18"/>
                <w:szCs w:val="18"/>
              </w:rPr>
              <w:t xml:space="preserve">数据获取与清洗</w:t>
            </w:r>
          </w:p>
        </w:tc>
        <w:tc>
          <w:tcPr>
            <w:tcW w:type="pct" w:w="54%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line="276"/>
            </w:pPr>
            <w:r>
              <w:rPr>
                <w:b w:val="false"/>
                <w:bCs w:val="false"/>
                <w:color w:val="182030"/>
                <w:sz w:val="18"/>
                <w:szCs w:val="18"/>
              </w:rPr>
              <w:t xml:space="preserve">全部完成：ChEMBL FXR 548条→清洗后354化合物+适用域基准</w:t>
            </w:r>
          </w:p>
        </w:tc>
      </w:tr>
      <w:tr>
        <w:trPr>
          <w:cantSplit/>
        </w:trPr>
        <w:tc>
          <w:tcPr>
            <w:tcW w:type="pct" w:w="24%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line="276"/>
            </w:pPr>
            <w:r>
              <w:rPr>
                <w:b w:val="false"/>
                <w:bCs w:val="false"/>
                <w:color w:val="182030"/>
                <w:sz w:val="18"/>
                <w:szCs w:val="18"/>
              </w:rPr>
              <w:t xml:space="preserve">3 贝叶斯GNN构建</w:t>
            </w:r>
          </w:p>
        </w:tc>
        <w:tc>
          <w:tcPr>
            <w:tcW w:type="pct" w:w="22%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line="276"/>
            </w:pPr>
            <w:r>
              <w:rPr>
                <w:b w:val="false"/>
                <w:bCs w:val="false"/>
                <w:color w:val="182030"/>
                <w:sz w:val="18"/>
                <w:szCs w:val="18"/>
              </w:rPr>
              <w:t xml:space="preserve">原计划9—11月</w:t>
            </w:r>
          </w:p>
        </w:tc>
        <w:tc>
          <w:tcPr>
            <w:tcW w:type="pct" w:w="54%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line="276"/>
            </w:pPr>
            <w:r>
              <w:rPr>
                <w:b w:val="false"/>
                <w:bCs w:val="false"/>
                <w:color w:val="182030"/>
                <w:sz w:val="18"/>
                <w:szCs w:val="18"/>
              </w:rPr>
              <w:t xml:space="preserve">提前超额完成：双划分评估+校准+GNNExplainer+基线对比</w:t>
            </w:r>
          </w:p>
        </w:tc>
      </w:tr>
      <w:tr>
        <w:trPr>
          <w:cantSplit/>
        </w:trPr>
        <w:tc>
          <w:tcPr>
            <w:tcW w:type="pct" w:w="24%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line="276"/>
            </w:pPr>
            <w:r>
              <w:rPr>
                <w:b w:val="false"/>
                <w:bCs w:val="false"/>
                <w:color w:val="182030"/>
                <w:sz w:val="18"/>
                <w:szCs w:val="18"/>
              </w:rPr>
              <w:t xml:space="preserve">4 中药筛选与CW-BCS评估</w:t>
            </w:r>
          </w:p>
        </w:tc>
        <w:tc>
          <w:tcPr>
            <w:tcW w:type="pct" w:w="22%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line="276"/>
            </w:pPr>
            <w:r>
              <w:rPr>
                <w:b w:val="false"/>
                <w:bCs w:val="false"/>
                <w:color w:val="182030"/>
                <w:sz w:val="18"/>
                <w:szCs w:val="18"/>
              </w:rPr>
              <w:t xml:space="preserve">原计划12月—次年2月</w:t>
            </w:r>
          </w:p>
        </w:tc>
        <w:tc>
          <w:tcPr>
            <w:tcW w:type="pct" w:w="54%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line="276"/>
            </w:pPr>
            <w:r>
              <w:rPr>
                <w:b w:val="false"/>
                <w:bCs w:val="false"/>
                <w:color w:val="182030"/>
                <w:sz w:val="18"/>
                <w:szCs w:val="18"/>
              </w:rPr>
              <w:t xml:space="preserve">提前完成：131成分库+三级标注+排名+交叉对接</w:t>
            </w:r>
          </w:p>
        </w:tc>
      </w:tr>
      <w:tr>
        <w:trPr>
          <w:cantSplit/>
        </w:trPr>
        <w:tc>
          <w:tcPr>
            <w:tcW w:type="pct" w:w="24%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line="276"/>
            </w:pPr>
            <w:r>
              <w:rPr>
                <w:b w:val="false"/>
                <w:bCs w:val="false"/>
                <w:color w:val="182030"/>
                <w:sz w:val="18"/>
                <w:szCs w:val="18"/>
              </w:rPr>
              <w:t xml:space="preserve">对接验证（阶段安排第4段）</w:t>
            </w:r>
          </w:p>
        </w:tc>
        <w:tc>
          <w:tcPr>
            <w:tcW w:type="pct" w:w="22%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line="276"/>
            </w:pPr>
            <w:r>
              <w:rPr>
                <w:b w:val="false"/>
                <w:bCs w:val="false"/>
                <w:color w:val="182030"/>
                <w:sz w:val="18"/>
                <w:szCs w:val="18"/>
              </w:rPr>
              <w:t xml:space="preserve">原计划次年3—5月</w:t>
            </w:r>
          </w:p>
        </w:tc>
        <w:tc>
          <w:tcPr>
            <w:tcW w:type="pct" w:w="54%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line="276"/>
            </w:pPr>
            <w:r>
              <w:rPr>
                <w:b w:val="false"/>
                <w:bCs w:val="false"/>
                <w:color w:val="182030"/>
                <w:sz w:val="18"/>
                <w:szCs w:val="18"/>
              </w:rPr>
              <w:t xml:space="preserve">提前完成：5受体重对接验证全过+262次批量对接+8个阳性对照</w:t>
            </w:r>
          </w:p>
        </w:tc>
      </w:tr>
    </w:tbl>
    <w:p>
      <w:pPr>
        <w:spacing w:after="60" w:line="312"/>
        <w:ind w:firstLine="420"/>
        <w:jc w:val="both"/>
      </w:pPr>
      <w:r>
        <w:rPr>
          <w:b/>
          <w:bCs/>
          <w:color w:val="182030"/>
          <w:sz w:val="22"/>
          <w:szCs w:val="22"/>
        </w:rPr>
        <w:t xml:space="preserve">量化指标达成：</w:t>
      </w:r>
      <w:r>
        <w:rPr>
          <w:color w:val="182030"/>
          <w:sz w:val="22"/>
          <w:szCs w:val="22"/>
        </w:rPr>
        <w:t xml:space="preserve">独立测试集 R²=0.790（目标≥0.60）、RMSE=0.723（目标≤0.80）、回归ECE=0.029（目标≤0.15）、分类维度 AUPRC=0.955/F1=0.917。按申报书口径，主要量化目标已全部提前达成。</w:t>
      </w:r>
    </w:p>
    <w:p>
      <w:pPr>
        <w:spacing w:after="60" w:line="312"/>
        <w:ind w:firstLine="420"/>
        <w:jc w:val="both"/>
      </w:pPr>
      <w:r>
        <w:rPr>
          <w:b w:val="false"/>
          <w:bCs w:val="false"/>
          <w:color w:val="182030"/>
          <w:sz w:val="22"/>
          <w:szCs w:val="22"/>
        </w:rPr>
        <w:t xml:space="preserve">超出计划的自主工作：一是发现并定量实证“过度外推”痛点（见第三章）；二是开展冷门药材自主探索（见第五章）；三是完成MASH药物管线竞争格局调研（见第五章第三节）。</w:t>
      </w:r>
    </w:p>
    <w:p>
      <w:pPr>
        <w:pStyle w:val="Heading1"/>
        <w:spacing w:after="160" w:before="360" w:line="312"/>
      </w:pPr>
      <w:bookmarkStart w:id="100001" w:name="_Toc100001"/>
      <w:r>
        <w:rPr>
          <w:rFonts w:ascii="Times New Roman" w:eastAsia="SimHei"/>
          <w:b/>
          <w:bCs/>
          <w:color w:val="0B1220"/>
        </w:rPr>
        <w:t xml:space="preserve">二、关键结果摘要</w:t>
      </w:r>
      <w:bookmarkEnd w:id="100001"/>
    </w:p>
    <w:p>
      <w:pPr>
        <w:pStyle w:val="ListParagraph"/>
        <w:numPr>
          <w:ilvl w:val="0"/>
          <w:numId w:val="1"/>
        </w:numPr>
        <w:spacing w:after="40" w:line="312"/>
      </w:pPr>
      <w:r>
        <w:rPr>
          <w:color w:val="182030"/>
          <w:sz w:val="22"/>
          <w:szCs w:val="22"/>
        </w:rPr>
        <w:t xml:space="preserve">病理学验证（GSE135251，n=216，Normal 10/NAFL 51/NASH 155）：FXR(NR1H4)下调-0.285(padj=1.0e-02)、THR-β(THRB)下调-0.315(2.0e-02)、ACC1(ACACA)上调+0.897(7.4e-05)、ACC2(ACACB)上调+0.631(4.2e-03)；阳性对照基因FASN/CYP7A1/COL1A1/TNF全部符合预期方向。</w:t>
      </w:r>
    </w:p>
    <w:p>
      <w:pPr>
        <w:pStyle w:val="ListParagraph"/>
        <w:numPr>
          <w:ilvl w:val="0"/>
          <w:numId w:val="1"/>
        </w:numPr>
        <w:spacing w:after="40" w:line="312"/>
      </w:pPr>
      <w:r>
        <w:rPr>
          <w:color w:val="182030"/>
          <w:sz w:val="22"/>
          <w:szCs w:val="22"/>
        </w:rPr>
        <w:t xml:space="preserve">模型：贝叶斯GIN（异方差NLL+MC Dropout T=50+五种子集成），随机划分测试集R²=0.790；骨架划分下R²=-0.610（关键发现，见第三章）。</w:t>
      </w:r>
    </w:p>
    <w:p>
      <w:pPr>
        <w:pStyle w:val="ListParagraph"/>
        <w:numPr>
          <w:ilvl w:val="0"/>
          <w:numId w:val="1"/>
        </w:numPr>
        <w:spacing w:after="40" w:line="312"/>
      </w:pPr>
      <w:r>
        <w:rPr>
          <w:color w:val="182030"/>
          <w:sz w:val="22"/>
          <w:szCs w:val="22"/>
        </w:rPr>
        <w:t xml:space="preserve">初版中药排名（CW-BCS）：黄连(0.718)&gt;苦参(0.585)&gt;甘草(0.566)&gt;雷公藤(0.565)&gt;丹参(0.545)。经中期自查，该排名的创新性定位不成立，已降级处理（见第五章）。</w:t>
      </w:r>
    </w:p>
    <w:p>
      <w:pPr>
        <w:pStyle w:val="ListParagraph"/>
        <w:numPr>
          <w:ilvl w:val="0"/>
          <w:numId w:val="1"/>
        </w:numPr>
        <w:spacing w:after="40" w:line="312"/>
      </w:pPr>
      <w:r>
        <w:rPr>
          <w:color w:val="182030"/>
          <w:sz w:val="22"/>
          <w:szCs w:val="22"/>
        </w:rPr>
        <w:t xml:space="preserve">对接质控：4个受体共晶配体重对接RMSD 0.33—1.22Å（全&lt;2Å门槛）；阳性对照药理学排序合理（GW4064≈丹参酮IIA&gt;CDCA&gt;OCA；resmetirom&gt;T3；ND-646最强）。</w:t>
      </w:r>
    </w:p>
    <w:p>
      <w:pPr>
        <w:pStyle w:val="ListParagraph"/>
        <w:numPr>
          <w:ilvl w:val="0"/>
          <w:numId w:val="1"/>
        </w:numPr>
        <w:spacing w:after="40" w:line="312"/>
      </w:pPr>
      <w:r>
        <w:rPr>
          <w:color w:val="182030"/>
          <w:sz w:val="22"/>
          <w:szCs w:val="22"/>
        </w:rPr>
        <w:t xml:space="preserve">可解释性：GNNExplainer显示小檗碱族关键原子为季铵氮与异喹啉芳香核。</w:t>
      </w:r>
    </w:p>
    <w:p>
      <w:pPr>
        <w:keepNext/>
        <w:spacing w:after="80" w:before="120"/>
        <w:jc w:val="center"/>
      </w:pPr>
      <w:r>
        <w:rPr>
          <w:b/>
          <w:bCs/>
          <w:color w:val="506070"/>
          <w:sz w:val="20"/>
          <w:szCs w:val="20"/>
        </w:rPr>
        <w:t xml:space="preserve">图1  模型校准证据包：测试集预测散带、z分数可靠性图、σ-误差相关</w:t>
      </w:r>
    </w:p>
    <w:p>
      <w:pPr>
        <w:spacing w:after="160"/>
        <w:jc w:val="center"/>
      </w:pPr>
      <w:r>
        <w:drawing>
          <wp:inline distT="0" distB="0" distL="0" distR="0">
            <wp:extent cx="5334000" cy="1600200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0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16002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keepNext/>
        <w:spacing w:after="80" w:before="120"/>
        <w:jc w:val="center"/>
      </w:pPr>
      <w:r>
        <w:rPr>
          <w:b/>
          <w:bCs/>
          <w:color w:val="506070"/>
          <w:sz w:val="20"/>
          <w:szCs w:val="20"/>
        </w:rPr>
        <w:t xml:space="preserve">图2  四靶点基因在各病理分组中的表达（GSE135251，n=216）</w:t>
      </w:r>
    </w:p>
    <w:p>
      <w:pPr>
        <w:spacing w:after="160"/>
        <w:jc w:val="center"/>
      </w:pPr>
      <w:r>
        <w:drawing>
          <wp:inline distT="0" distB="0" distL="0" distR="0">
            <wp:extent cx="5334000" cy="2333625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1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23336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Heading1"/>
        <w:spacing w:after="160" w:before="360" w:line="312"/>
      </w:pPr>
      <w:bookmarkStart w:id="100002" w:name="_Toc100002"/>
      <w:r>
        <w:rPr>
          <w:rFonts w:ascii="Times New Roman" w:eastAsia="SimHei"/>
          <w:b/>
          <w:bCs/>
          <w:color w:val="0B1220"/>
        </w:rPr>
        <w:t xml:space="preserve">三、可信度自评与缺点直陈</w:t>
      </w:r>
      <w:bookmarkEnd w:id="100002"/>
    </w:p>
    <w:p>
      <w:pPr>
        <w:spacing w:after="60" w:line="312"/>
        <w:ind w:firstLine="420"/>
        <w:jc w:val="both"/>
      </w:pPr>
      <w:r>
        <w:rPr>
          <w:b/>
          <w:bCs/>
          <w:color w:val="182030"/>
          <w:sz w:val="22"/>
          <w:szCs w:val="22"/>
        </w:rPr>
        <w:t xml:space="preserve">本章为本报告核心：对全部已完成结论做证据强度分级，并逐一列出缺陷。</w:t>
      </w:r>
    </w:p>
    <w:p>
      <w:pPr>
        <w:pStyle w:val="Heading2"/>
        <w:spacing w:after="120" w:before="240" w:line="312"/>
      </w:pPr>
      <w:bookmarkStart w:id="100003" w:name="_Toc100003"/>
      <w:r>
        <w:rPr>
          <w:rFonts w:ascii="Times New Roman" w:eastAsia="SimHei"/>
          <w:b/>
          <w:bCs/>
          <w:color w:val="0B1220"/>
        </w:rPr>
        <w:t xml:space="preserve">3.1 结论可信度分层</w:t>
      </w:r>
      <w:bookmarkEnd w:id="100003"/>
    </w:p>
    <w:p>
      <w:pPr>
        <w:keepNext/>
        <w:spacing w:after="80" w:before="120"/>
        <w:jc w:val="center"/>
      </w:pPr>
      <w:r>
        <w:rPr>
          <w:b/>
          <w:bCs/>
          <w:color w:val="506070"/>
          <w:sz w:val="20"/>
          <w:szCs w:val="20"/>
        </w:rPr>
        <w:t xml:space="preserve">表2  主要结论的证据强度评级</w:t>
      </w:r>
    </w:p>
    <w:tbl>
      <w:tblPr>
        <w:tblW w:type="pct" w:w="100%"/>
        <w:tblBorders>
          <w:top w:val="single" w:color="9AA6B2" w:sz="2"/>
          <w:left w:val="none" w:color="FFFFFF" w:sz="0"/>
          <w:bottom w:val="single" w:color="9AA6B2" w:sz="2"/>
          <w:right w:val="none" w:color="FFFFFF" w:sz="0"/>
          <w:insideH w:val="single" w:color="D0D0D0" w:sz="1"/>
          <w:insideV w:val="none" w:color="FFFFFF" w:sz="0"/>
        </w:tblBorders>
      </w:tblPr>
      <w:tblGrid>
        <w:gridCol w:w="100"/>
        <w:gridCol w:w="100"/>
        <w:gridCol w:w="100"/>
      </w:tblGrid>
      <w:tr>
        <w:trPr>
          <w:cantSplit/>
          <w:tblHeader/>
        </w:trPr>
        <w:tc>
          <w:tcPr>
            <w:tcW w:type="pct" w:w="30%"/>
            <w:shd w:fill="EDF2F7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line="276"/>
            </w:pPr>
            <w:r>
              <w:rPr>
                <w:b/>
                <w:bCs/>
                <w:color w:val="0B1220"/>
                <w:sz w:val="18"/>
                <w:szCs w:val="18"/>
              </w:rPr>
              <w:t xml:space="preserve">结论</w:t>
            </w:r>
          </w:p>
        </w:tc>
        <w:tc>
          <w:tcPr>
            <w:tcW w:type="pct" w:w="52%"/>
            <w:shd w:fill="EDF2F7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line="276"/>
            </w:pPr>
            <w:r>
              <w:rPr>
                <w:b/>
                <w:bCs/>
                <w:color w:val="0B1220"/>
                <w:sz w:val="18"/>
                <w:szCs w:val="18"/>
              </w:rPr>
              <w:t xml:space="preserve">证据强度依据</w:t>
            </w:r>
          </w:p>
        </w:tc>
        <w:tc>
          <w:tcPr>
            <w:tcW w:type="pct" w:w="18%"/>
            <w:shd w:fill="EDF2F7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line="276"/>
            </w:pPr>
            <w:r>
              <w:rPr>
                <w:b/>
                <w:bCs/>
                <w:color w:val="0B1220"/>
                <w:sz w:val="18"/>
                <w:szCs w:val="18"/>
              </w:rPr>
              <w:t xml:space="preserve">评级</w:t>
            </w:r>
          </w:p>
        </w:tc>
      </w:tr>
      <w:tr>
        <w:trPr>
          <w:cantSplit/>
        </w:trPr>
        <w:tc>
          <w:tcPr>
            <w:tcW w:type="pct" w:w="30%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line="276"/>
            </w:pPr>
            <w:r>
              <w:rPr>
                <w:b w:val="false"/>
                <w:bCs w:val="false"/>
                <w:color w:val="182030"/>
                <w:sz w:val="18"/>
                <w:szCs w:val="18"/>
              </w:rPr>
              <w:t xml:space="preserve">三靶点在MASH肝组织差异表达</w:t>
            </w:r>
          </w:p>
        </w:tc>
        <w:tc>
          <w:tcPr>
            <w:tcW w:type="pct" w:w="52%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line="276"/>
            </w:pPr>
            <w:r>
              <w:rPr>
                <w:b w:val="false"/>
                <w:bCs w:val="false"/>
                <w:color w:val="182030"/>
                <w:sz w:val="18"/>
                <w:szCs w:val="18"/>
              </w:rPr>
              <w:t xml:space="preserve">216例真实数据+阳性对照基因全部符合预期+通路富集支持</w:t>
            </w:r>
          </w:p>
        </w:tc>
        <w:tc>
          <w:tcPr>
            <w:tcW w:type="pct" w:w="18%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line="276"/>
            </w:pPr>
            <w:r>
              <w:rPr>
                <w:b w:val="false"/>
                <w:bCs w:val="false"/>
                <w:color w:val="182030"/>
                <w:sz w:val="18"/>
                <w:szCs w:val="18"/>
              </w:rPr>
              <w:t xml:space="preserve">高</w:t>
            </w:r>
          </w:p>
        </w:tc>
      </w:tr>
      <w:tr>
        <w:trPr>
          <w:cantSplit/>
        </w:trPr>
        <w:tc>
          <w:tcPr>
            <w:tcW w:type="pct" w:w="30%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line="276"/>
            </w:pPr>
            <w:r>
              <w:rPr>
                <w:b w:val="false"/>
                <w:bCs w:val="false"/>
                <w:color w:val="182030"/>
                <w:sz w:val="18"/>
                <w:szCs w:val="18"/>
              </w:rPr>
              <w:t xml:space="preserve">对接流程可靠</w:t>
            </w:r>
          </w:p>
        </w:tc>
        <w:tc>
          <w:tcPr>
            <w:tcW w:type="pct" w:w="52%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line="276"/>
            </w:pPr>
            <w:r>
              <w:rPr>
                <w:b w:val="false"/>
                <w:bCs w:val="false"/>
                <w:color w:val="182030"/>
                <w:sz w:val="18"/>
                <w:szCs w:val="18"/>
              </w:rPr>
              <w:t xml:space="preserve">4受体重对接RMSD&lt;2Å+8个阳性药排序合理</w:t>
            </w:r>
          </w:p>
        </w:tc>
        <w:tc>
          <w:tcPr>
            <w:tcW w:type="pct" w:w="18%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line="276"/>
            </w:pPr>
            <w:r>
              <w:rPr>
                <w:b w:val="false"/>
                <w:bCs w:val="false"/>
                <w:color w:val="182030"/>
                <w:sz w:val="18"/>
                <w:szCs w:val="18"/>
              </w:rPr>
              <w:t xml:space="preserve">高</w:t>
            </w:r>
          </w:p>
        </w:tc>
      </w:tr>
      <w:tr>
        <w:trPr>
          <w:cantSplit/>
        </w:trPr>
        <w:tc>
          <w:tcPr>
            <w:tcW w:type="pct" w:w="30%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line="276"/>
            </w:pPr>
            <w:r>
              <w:rPr>
                <w:b w:val="false"/>
                <w:bCs w:val="false"/>
                <w:color w:val="182030"/>
                <w:sz w:val="18"/>
                <w:szCs w:val="18"/>
              </w:rPr>
              <w:t xml:space="preserve">模型在合成骨架空间的预测能力</w:t>
            </w:r>
          </w:p>
        </w:tc>
        <w:tc>
          <w:tcPr>
            <w:tcW w:type="pct" w:w="52%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line="276"/>
            </w:pPr>
            <w:r>
              <w:rPr>
                <w:b w:val="false"/>
                <w:bCs w:val="false"/>
                <w:color w:val="182030"/>
                <w:sz w:val="18"/>
                <w:szCs w:val="18"/>
              </w:rPr>
              <w:t xml:space="preserve">随机划分R²=0.79，但测试集仅36个分子</w:t>
            </w:r>
          </w:p>
        </w:tc>
        <w:tc>
          <w:tcPr>
            <w:tcW w:type="pct" w:w="18%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line="276"/>
            </w:pPr>
            <w:r>
              <w:rPr>
                <w:b w:val="false"/>
                <w:bCs w:val="false"/>
                <w:color w:val="182030"/>
                <w:sz w:val="18"/>
                <w:szCs w:val="18"/>
              </w:rPr>
              <w:t xml:space="preserve">中</w:t>
            </w:r>
          </w:p>
        </w:tc>
      </w:tr>
      <w:tr>
        <w:trPr>
          <w:cantSplit/>
        </w:trPr>
        <w:tc>
          <w:tcPr>
            <w:tcW w:type="pct" w:w="30%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line="276"/>
            </w:pPr>
            <w:r>
              <w:rPr>
                <w:b w:val="false"/>
                <w:bCs w:val="false"/>
                <w:color w:val="182030"/>
                <w:sz w:val="18"/>
                <w:szCs w:val="18"/>
              </w:rPr>
              <w:t xml:space="preserve">“过度外推”痛点存在</w:t>
            </w:r>
          </w:p>
        </w:tc>
        <w:tc>
          <w:tcPr>
            <w:tcW w:type="pct" w:w="52%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line="276"/>
            </w:pPr>
            <w:r>
              <w:rPr>
                <w:b w:val="false"/>
                <w:bCs w:val="false"/>
                <w:color w:val="182030"/>
                <w:sz w:val="18"/>
                <w:szCs w:val="18"/>
              </w:rPr>
              <w:t xml:space="preserve">双划分对照实验，所有模型同崩塌，设计干净</w:t>
            </w:r>
          </w:p>
        </w:tc>
        <w:tc>
          <w:tcPr>
            <w:tcW w:type="pct" w:w="18%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line="276"/>
            </w:pPr>
            <w:r>
              <w:rPr>
                <w:b w:val="false"/>
                <w:bCs w:val="false"/>
                <w:color w:val="182030"/>
                <w:sz w:val="18"/>
                <w:szCs w:val="18"/>
              </w:rPr>
              <w:t xml:space="preserve">中高</w:t>
            </w:r>
          </w:p>
        </w:tc>
      </w:tr>
      <w:tr>
        <w:trPr>
          <w:cantSplit/>
        </w:trPr>
        <w:tc>
          <w:tcPr>
            <w:tcW w:type="pct" w:w="30%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line="276"/>
            </w:pPr>
            <w:r>
              <w:rPr>
                <w:b w:val="false"/>
                <w:bCs w:val="false"/>
                <w:color w:val="182030"/>
                <w:sz w:val="18"/>
                <w:szCs w:val="18"/>
              </w:rPr>
              <w:t xml:space="preserve">冷门/知名药材FXR预测绝对数值</w:t>
            </w:r>
          </w:p>
        </w:tc>
        <w:tc>
          <w:tcPr>
            <w:tcW w:type="pct" w:w="52%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line="276"/>
            </w:pPr>
            <w:r>
              <w:rPr>
                <w:b w:val="false"/>
                <w:bCs w:val="false"/>
                <w:color w:val="182030"/>
                <w:sz w:val="18"/>
                <w:szCs w:val="18"/>
              </w:rPr>
              <w:t xml:space="preserve">召回测试失败（见D2）</w:t>
            </w:r>
          </w:p>
        </w:tc>
        <w:tc>
          <w:tcPr>
            <w:tcW w:type="pct" w:w="18%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line="276"/>
            </w:pPr>
            <w:r>
              <w:rPr>
                <w:b w:val="false"/>
                <w:bCs w:val="false"/>
                <w:color w:val="182030"/>
                <w:sz w:val="18"/>
                <w:szCs w:val="18"/>
              </w:rPr>
              <w:t xml:space="preserve">低</w:t>
            </w:r>
          </w:p>
        </w:tc>
      </w:tr>
      <w:tr>
        <w:trPr>
          <w:cantSplit/>
        </w:trPr>
        <w:tc>
          <w:tcPr>
            <w:tcW w:type="pct" w:w="30%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line="276"/>
            </w:pPr>
            <w:r>
              <w:rPr>
                <w:b w:val="false"/>
                <w:bCs w:val="false"/>
                <w:color w:val="182030"/>
                <w:sz w:val="18"/>
                <w:szCs w:val="18"/>
              </w:rPr>
              <w:t xml:space="preserve">初版CW-BCS排名位次</w:t>
            </w:r>
          </w:p>
        </w:tc>
        <w:tc>
          <w:tcPr>
            <w:tcW w:type="pct" w:w="52%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line="276"/>
            </w:pPr>
            <w:r>
              <w:rPr>
                <w:b w:val="false"/>
                <w:bCs w:val="false"/>
                <w:color w:val="182030"/>
                <w:sz w:val="18"/>
                <w:szCs w:val="18"/>
              </w:rPr>
              <w:t xml:space="preserve">启发式加权+依赖低可信输入</w:t>
            </w:r>
          </w:p>
        </w:tc>
        <w:tc>
          <w:tcPr>
            <w:tcW w:type="pct" w:w="18%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line="276"/>
            </w:pPr>
            <w:r>
              <w:rPr>
                <w:b w:val="false"/>
                <w:bCs w:val="false"/>
                <w:color w:val="182030"/>
                <w:sz w:val="18"/>
                <w:szCs w:val="18"/>
              </w:rPr>
              <w:t xml:space="preserve">低</w:t>
            </w:r>
          </w:p>
        </w:tc>
      </w:tr>
    </w:tbl>
    <w:p>
      <w:pPr>
        <w:pStyle w:val="Heading2"/>
        <w:spacing w:after="120" w:before="240" w:line="312"/>
      </w:pPr>
      <w:bookmarkStart w:id="100004" w:name="_Toc100004"/>
      <w:r>
        <w:rPr>
          <w:rFonts w:ascii="Times New Roman" w:eastAsia="SimHei"/>
          <w:b/>
          <w:bCs/>
          <w:color w:val="0B1220"/>
        </w:rPr>
        <w:t xml:space="preserve">3.2 五个具体缺陷（含证据）</w:t>
      </w:r>
      <w:bookmarkEnd w:id="100004"/>
    </w:p>
    <w:p>
      <w:pPr>
        <w:spacing w:after="60" w:line="312"/>
        <w:ind w:firstLine="420"/>
        <w:jc w:val="both"/>
      </w:pPr>
      <w:r>
        <w:rPr>
          <w:b/>
          <w:bCs/>
          <w:color w:val="182030"/>
          <w:sz w:val="22"/>
          <w:szCs w:val="22"/>
        </w:rPr>
        <w:t xml:space="preserve">D1 模型在化学空间外推时失效。</w:t>
      </w:r>
      <w:r>
        <w:rPr>
          <w:color w:val="182030"/>
          <w:sz w:val="22"/>
          <w:szCs w:val="22"/>
        </w:rPr>
        <w:t xml:space="preserve">骨架划分（测试分子来自训练集未见过的母核）下，GNN的R²从0.79崩塌至-0.61，RF从0.85跌至0.05，XGBoost为负。这不是实现错误而是方法本性的暴露——它反过来证明了本项目“不确定性量化”立论的正确性，但也意味着：任何对训练分布之外分子（多数天然产物正是如此）的预测值都不能按面值采信。</w:t>
      </w:r>
    </w:p>
    <w:p>
      <w:pPr>
        <w:spacing w:after="60" w:line="312"/>
        <w:ind w:firstLine="420"/>
        <w:jc w:val="both"/>
      </w:pPr>
      <w:r>
        <w:rPr>
          <w:b/>
          <w:bCs/>
          <w:color w:val="182030"/>
          <w:sz w:val="22"/>
          <w:szCs w:val="22"/>
        </w:rPr>
        <w:t xml:space="preserve">D2 模型在天然产物空间的排序能力未获证明。</w:t>
      </w:r>
      <w:r>
        <w:rPr>
          <w:color w:val="182030"/>
          <w:sz w:val="22"/>
          <w:szCs w:val="22"/>
        </w:rPr>
        <w:t xml:space="preserve">用已知天然FXR配体（胆汁酸家族：CDCA/DCA/LCA/CA/甘氨酸CDCA/OCA）做召回测试：预测值与文献活性估计的Spearman相关仅-0.086（即无排序能力），平均绝对误差0.88 log单位，OCA被低估1.4个单位。唯一可辩护之处是模型对这类分子输出了大σ（0.92–1.50），“知道自己不知道”。原因：ChEMBL FXR的IC50数据以现代合成非甾体骨架为主，甾体/生物碱骨架欠表示。</w:t>
      </w:r>
    </w:p>
    <w:p>
      <w:pPr>
        <w:spacing w:after="60" w:line="312"/>
        <w:ind w:firstLine="420"/>
        <w:jc w:val="both"/>
      </w:pPr>
      <w:r>
        <w:rPr>
          <w:b/>
          <w:bCs/>
          <w:color w:val="182030"/>
          <w:sz w:val="22"/>
          <w:szCs w:val="22"/>
        </w:rPr>
        <w:t xml:space="preserve">D3 初版“黄连第一”疑似外推伪影。</w:t>
      </w:r>
      <w:r>
        <w:rPr>
          <w:color w:val="182030"/>
          <w:sz w:val="22"/>
          <w:szCs w:val="22"/>
        </w:rPr>
        <w:t xml:space="preserve">复核发现：小檗碱与全部354个训练化合物的最大Morgan指纹Tanimoto相似度仅0.200（最相近的3个邻居活性只有pIC50 5.4—5.9），模型却给出μ=8.21的强预测；黄连碱、巴马汀同理（maxTan 0.17—0.19）。而描述符层适用域（leverage=0.022，仅基于MW/LogP/TPSA等11个整体性质）判定其“域内”——描述符AD层看不见结构母核缺失，识别不了这种伪域内。结论：初版排名中黄连族的高分不可信，AD双层机制需要增加指纹相似度维度（已列入修正计划）。注：FXR晶体交叉对接对黄连碱族给出-8.5—-10.6 kcal/mol，方向上支持结合，但Vina对带电骨架打分偏乐观，不能单独作为证据。</w:t>
      </w:r>
    </w:p>
    <w:p>
      <w:pPr>
        <w:spacing w:after="60" w:line="312"/>
        <w:ind w:firstLine="420"/>
        <w:jc w:val="both"/>
      </w:pPr>
      <w:r>
        <w:rPr>
          <w:b/>
          <w:bCs/>
          <w:color w:val="182030"/>
          <w:sz w:val="22"/>
          <w:szCs w:val="22"/>
        </w:rPr>
        <w:t xml:space="preserve">D4 CW-BCS是未经回顾性验证的启发式。</w:t>
      </w:r>
      <w:r>
        <w:rPr>
          <w:color w:val="182030"/>
          <w:sz w:val="22"/>
          <w:szCs w:val="22"/>
        </w:rPr>
        <w:t xml:space="preserve">w=1/(1+σ)权重、几何均值、Tanimoto冗余惩罚的参数均为合理假设而非拟合结果；位次对min-max归一化敏感；且其FXR输入端依赖D2/D3所述不可靠的天然产物预测。“衡量结合覆盖而非药理协同”的边界已声明，但作为创新点的成色目前只有方法设计，没有独立验证。</w:t>
      </w:r>
    </w:p>
    <w:p>
      <w:pPr>
        <w:spacing w:after="60" w:line="312"/>
        <w:ind w:firstLine="420"/>
        <w:jc w:val="both"/>
      </w:pPr>
      <w:r>
        <w:rPr>
          <w:b/>
          <w:bCs/>
          <w:color w:val="182030"/>
          <w:sz w:val="22"/>
          <w:szCs w:val="22"/>
        </w:rPr>
        <w:t xml:space="preserve">D5 对接与过滤规则的结构性偏差。</w:t>
      </w:r>
      <w:r>
        <w:rPr>
          <w:color w:val="182030"/>
          <w:sz w:val="22"/>
          <w:szCs w:val="22"/>
        </w:rPr>
        <w:t xml:space="preserve">其一，Vina对甾体/大环打分系统性偏低：OCA实测nM级活性却只得-6.77 kcal/mol，soraphen A（Ki=2.1nM）仅-6.71。其二，THR-β的T3口袋太小，冷门探索中9个甾醇类分子全部得到正分（无有效构象）——THR-β对接代理对甾体骨架不可用。其三，申报书ADMET规则（LogP&lt;5.5）结构性排除全部羊毛甾烷三萜（LogP 7.0—8.5），而这类骨架恰含保肝证据充分的成分（桦褐孔菌、樟芝），已补做明确标注的“放宽ADMET敏感性分析”（MW&lt;600/LogP&lt;8）作为补救，但主筛选规则需要正式修订。</w:t>
      </w:r>
    </w:p>
    <w:p>
      <w:pPr>
        <w:pStyle w:val="Heading2"/>
        <w:spacing w:after="120" w:before="240" w:line="312"/>
      </w:pPr>
      <w:bookmarkStart w:id="100005" w:name="_Toc100005"/>
      <w:r>
        <w:rPr>
          <w:rFonts w:ascii="Times New Roman" w:eastAsia="SimHei"/>
          <w:b/>
          <w:bCs/>
          <w:color w:val="0B1220"/>
        </w:rPr>
        <w:t xml:space="preserve">3.3 其他如实申报的偏差</w:t>
      </w:r>
      <w:bookmarkEnd w:id="100005"/>
    </w:p>
    <w:p>
      <w:pPr>
        <w:pStyle w:val="ListParagraph"/>
        <w:numPr>
          <w:ilvl w:val="0"/>
          <w:numId w:val="1"/>
        </w:numPr>
        <w:spacing w:after="40" w:line="312"/>
      </w:pPr>
      <w:r>
        <w:rPr>
          <w:color w:val="182030"/>
          <w:sz w:val="22"/>
          <w:szCs w:val="22"/>
        </w:rPr>
        <w:t xml:space="preserve">用Python（Welch t + BH）替代申报书的R语言DESeq2/limma：方法等价，阳性对照基因验证通过，结题时需说明。</w:t>
      </w:r>
    </w:p>
    <w:p>
      <w:pPr>
        <w:pStyle w:val="ListParagraph"/>
        <w:numPr>
          <w:ilvl w:val="0"/>
          <w:numId w:val="1"/>
        </w:numPr>
        <w:spacing w:after="40" w:line="312"/>
      </w:pPr>
      <w:r>
        <w:rPr>
          <w:color w:val="182030"/>
          <w:sz w:val="22"/>
          <w:szCs w:val="22"/>
        </w:rPr>
        <w:t xml:space="preserve">TCMSP数据库无法程序化访问，成分清单改为文献锚定+PubChem CID溯源（每成分有CID可查证），OB/DL筛选标准未执行。</w:t>
      </w:r>
    </w:p>
    <w:p>
      <w:pPr>
        <w:pStyle w:val="ListParagraph"/>
        <w:numPr>
          <w:ilvl w:val="0"/>
          <w:numId w:val="1"/>
        </w:numPr>
        <w:spacing w:after="40" w:line="312"/>
      </w:pPr>
      <w:r>
        <w:rPr>
          <w:color w:val="182030"/>
          <w:sz w:val="22"/>
          <w:szCs w:val="22"/>
        </w:rPr>
        <w:t xml:space="preserve">未做PyMOL氢键/残基互作图（pose文件已存，仅差可视化）。</w:t>
      </w:r>
    </w:p>
    <w:p>
      <w:pPr>
        <w:pStyle w:val="ListParagraph"/>
        <w:numPr>
          <w:ilvl w:val="0"/>
          <w:numId w:val="1"/>
        </w:numPr>
        <w:spacing w:after="40" w:line="312"/>
      </w:pPr>
      <w:r>
        <w:rPr>
          <w:color w:val="182030"/>
          <w:sz w:val="22"/>
          <w:szCs w:val="22"/>
        </w:rPr>
        <w:t xml:space="preserve">全部计算在单机CPU完成，无GPU资源消耗（影响经费执行说明）。</w:t>
      </w:r>
    </w:p>
    <w:p>
      <w:pPr>
        <w:pStyle w:val="Heading1"/>
        <w:spacing w:after="160" w:before="360" w:line="312"/>
      </w:pPr>
      <w:bookmarkStart w:id="100006" w:name="_Toc100006"/>
      <w:r>
        <w:rPr>
          <w:rFonts w:ascii="Times New Roman" w:eastAsia="SimHei"/>
          <w:b/>
          <w:bCs/>
          <w:color w:val="0B1220"/>
        </w:rPr>
        <w:t xml:space="preserve">四、实际推进进度可信度</w:t>
      </w:r>
      <w:bookmarkEnd w:id="100006"/>
    </w:p>
    <w:p>
      <w:pPr>
        <w:spacing w:after="60" w:line="312"/>
        <w:ind w:firstLine="420"/>
        <w:jc w:val="both"/>
      </w:pPr>
      <w:r>
        <w:rPr>
          <w:b/>
          <w:bCs/>
          <w:color w:val="182030"/>
          <w:sz w:val="22"/>
          <w:szCs w:val="22"/>
        </w:rPr>
        <w:t xml:space="preserve">进度判定：真实、可审计、大幅提前。</w:t>
      </w:r>
      <w:r>
        <w:rPr>
          <w:color w:val="182030"/>
          <w:sz w:val="22"/>
          <w:szCs w:val="22"/>
        </w:rPr>
        <w:t xml:space="preserve">判断依据：全部中间数据文件带时间戳存档；数据来源全部可溯源（CID/PMID/PDB ID/GSE编号）；结果可由代码一键复现；过程中保留了完整的失败与纠错记录（如KEGG接口行为变化、PubChem限流、多个被误用的PDB ID纠错）。</w:t>
      </w:r>
    </w:p>
    <w:p>
      <w:pPr>
        <w:spacing w:after="60" w:line="312"/>
        <w:ind w:firstLine="420"/>
        <w:jc w:val="both"/>
      </w:pPr>
      <w:r>
        <w:rPr>
          <w:b/>
          <w:bCs/>
          <w:color w:val="182030"/>
          <w:sz w:val="22"/>
          <w:szCs w:val="22"/>
        </w:rPr>
        <w:t xml:space="preserve">需注意的进度水分点（如实扣减）：</w:t>
      </w:r>
      <w:r>
        <w:rPr>
          <w:color w:val="182030"/>
          <w:sz w:val="22"/>
          <w:szCs w:val="22"/>
        </w:rPr>
        <w:t xml:space="preserve">完成阶段4中的TCMSP环节为替代实现而非原方案；对接验证未包含原方案的PyMOL互作分析；GNN指标在随机划分下达标，但该口径严格性弱于骨架划分（申报书未指定划分协议，按其字面口径达标）。</w:t>
      </w:r>
    </w:p>
    <w:p>
      <w:pPr>
        <w:pStyle w:val="Heading1"/>
        <w:spacing w:after="160" w:before="360" w:line="312"/>
      </w:pPr>
      <w:bookmarkStart w:id="100007" w:name="_Toc100007"/>
      <w:r>
        <w:rPr>
          <w:rFonts w:ascii="Times New Roman" w:eastAsia="SimHei"/>
          <w:b/>
          <w:bCs/>
          <w:color w:val="0B1220"/>
        </w:rPr>
        <w:t xml:space="preserve">五、中期审查触发的方向修正</w:t>
      </w:r>
      <w:bookmarkEnd w:id="100007"/>
    </w:p>
    <w:p>
      <w:pPr>
        <w:pStyle w:val="Heading2"/>
        <w:spacing w:after="120" w:before="240" w:line="312"/>
      </w:pPr>
      <w:bookmarkStart w:id="100008" w:name="_Toc100008"/>
      <w:r>
        <w:rPr>
          <w:rFonts w:ascii="Times New Roman" w:eastAsia="SimHei"/>
          <w:b/>
          <w:bCs/>
          <w:color w:val="0B1220"/>
        </w:rPr>
        <w:t xml:space="preserve">5.1 初版TOP5的创新性不成立（按排除标准执行）</w:t>
      </w:r>
      <w:bookmarkEnd w:id="100008"/>
    </w:p>
    <w:p>
      <w:pPr>
        <w:spacing w:after="60" w:line="312"/>
        <w:ind w:firstLine="420"/>
        <w:jc w:val="both"/>
      </w:pPr>
      <w:r>
        <w:rPr>
          <w:b w:val="false"/>
          <w:bCs w:val="false"/>
          <w:color w:val="182030"/>
          <w:sz w:val="22"/>
          <w:szCs w:val="22"/>
        </w:rPr>
        <w:t xml:space="preserve">对初版CW-BCS排名前5逐一到注册库与文献核实，结论如下表。初版排名在“发现新药”意义上没有产出——名药之所以为名药，与既有证据自洽；其价值仅在于验证了筛选流程没有方向性错误。</w:t>
      </w:r>
    </w:p>
    <w:p>
      <w:pPr>
        <w:keepNext/>
        <w:spacing w:after="80" w:before="120"/>
        <w:jc w:val="center"/>
      </w:pPr>
      <w:r>
        <w:rPr>
          <w:b/>
          <w:bCs/>
          <w:color w:val="506070"/>
          <w:sz w:val="20"/>
          <w:szCs w:val="20"/>
        </w:rPr>
        <w:t xml:space="preserve">表3  初版排名的创新性核查与处理</w:t>
      </w:r>
    </w:p>
    <w:tbl>
      <w:tblPr>
        <w:tblW w:type="pct" w:w="100%"/>
        <w:tblBorders>
          <w:top w:val="single" w:color="9AA6B2" w:sz="2"/>
          <w:left w:val="none" w:color="FFFFFF" w:sz="0"/>
          <w:bottom w:val="single" w:color="9AA6B2" w:sz="2"/>
          <w:right w:val="none" w:color="FFFFFF" w:sz="0"/>
          <w:insideH w:val="single" w:color="D0D0D0" w:sz="1"/>
          <w:insideV w:val="none" w:color="FFFFFF" w:sz="0"/>
        </w:tblBorders>
      </w:tblPr>
      <w:tblGrid>
        <w:gridCol w:w="100"/>
        <w:gridCol w:w="100"/>
        <w:gridCol w:w="100"/>
        <w:gridCol w:w="100"/>
      </w:tblGrid>
      <w:tr>
        <w:trPr>
          <w:cantSplit/>
          <w:tblHeader/>
        </w:trPr>
        <w:tc>
          <w:tcPr>
            <w:tcW w:type="pct" w:w="10%"/>
            <w:shd w:fill="EDF2F7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line="276"/>
            </w:pPr>
            <w:r>
              <w:rPr>
                <w:b/>
                <w:bCs/>
                <w:color w:val="0B1220"/>
                <w:sz w:val="18"/>
                <w:szCs w:val="18"/>
              </w:rPr>
              <w:t xml:space="preserve">初版排名</w:t>
            </w:r>
          </w:p>
        </w:tc>
        <w:tc>
          <w:tcPr>
            <w:tcW w:type="pct" w:w="16%"/>
            <w:shd w:fill="EDF2F7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line="276"/>
            </w:pPr>
            <w:r>
              <w:rPr>
                <w:b/>
                <w:bCs/>
                <w:color w:val="0B1220"/>
                <w:sz w:val="18"/>
                <w:szCs w:val="18"/>
              </w:rPr>
              <w:t xml:space="preserve">药材</w:t>
            </w:r>
          </w:p>
        </w:tc>
        <w:tc>
          <w:tcPr>
            <w:tcW w:type="pct" w:w="50%"/>
            <w:shd w:fill="EDF2F7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line="276"/>
            </w:pPr>
            <w:r>
              <w:rPr>
                <w:b/>
                <w:bCs/>
                <w:color w:val="0B1220"/>
                <w:sz w:val="18"/>
                <w:szCs w:val="18"/>
              </w:rPr>
              <w:t xml:space="preserve">核实结论</w:t>
            </w:r>
          </w:p>
        </w:tc>
        <w:tc>
          <w:tcPr>
            <w:tcW w:type="pct" w:w="24%"/>
            <w:shd w:fill="EDF2F7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line="276"/>
            </w:pPr>
            <w:r>
              <w:rPr>
                <w:b/>
                <w:bCs/>
                <w:color w:val="0B1220"/>
                <w:sz w:val="18"/>
                <w:szCs w:val="18"/>
              </w:rPr>
              <w:t xml:space="preserve">处理</w:t>
            </w:r>
          </w:p>
        </w:tc>
      </w:tr>
      <w:tr>
        <w:trPr>
          <w:cantSplit/>
        </w:trPr>
        <w:tc>
          <w:tcPr>
            <w:tcW w:type="pct" w:w="10%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line="276"/>
            </w:pPr>
            <w:r>
              <w:rPr>
                <w:b w:val="false"/>
                <w:bCs w:val="false"/>
                <w:color w:val="182030"/>
                <w:sz w:val="18"/>
                <w:szCs w:val="18"/>
              </w:rPr>
              <w:t xml:space="preserve">1</w:t>
            </w:r>
          </w:p>
        </w:tc>
        <w:tc>
          <w:tcPr>
            <w:tcW w:type="pct" w:w="16%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line="276"/>
            </w:pPr>
            <w:r>
              <w:rPr>
                <w:b w:val="false"/>
                <w:bCs w:val="false"/>
                <w:color w:val="182030"/>
                <w:sz w:val="18"/>
                <w:szCs w:val="18"/>
              </w:rPr>
              <w:t xml:space="preserve">黄连（小檗碱族）</w:t>
            </w:r>
          </w:p>
        </w:tc>
        <w:tc>
          <w:tcPr>
            <w:tcW w:type="pct" w:w="50%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line="276"/>
            </w:pPr>
            <w:r>
              <w:rPr>
                <w:b w:val="false"/>
                <w:bCs w:val="false"/>
                <w:color w:val="182030"/>
                <w:sz w:val="18"/>
                <w:szCs w:val="18"/>
              </w:rPr>
              <w:t xml:space="preserve">小檗碱NAFLD RCT≥3项+meta；HTD1801（小檗碱-UDCA盐）已进MASH III期（NCT06353347）</w:t>
            </w:r>
          </w:p>
        </w:tc>
        <w:tc>
          <w:tcPr>
            <w:tcW w:type="pct" w:w="24%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line="276"/>
            </w:pPr>
            <w:r>
              <w:rPr>
                <w:b w:val="false"/>
                <w:bCs w:val="false"/>
                <w:color w:val="182030"/>
                <w:sz w:val="18"/>
                <w:szCs w:val="18"/>
              </w:rPr>
              <w:t xml:space="preserve">降级为方法学验证对照</w:t>
            </w:r>
          </w:p>
        </w:tc>
      </w:tr>
      <w:tr>
        <w:trPr>
          <w:cantSplit/>
        </w:trPr>
        <w:tc>
          <w:tcPr>
            <w:tcW w:type="pct" w:w="10%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line="276"/>
            </w:pPr>
            <w:r>
              <w:rPr>
                <w:b w:val="false"/>
                <w:bCs w:val="false"/>
                <w:color w:val="182030"/>
                <w:sz w:val="18"/>
                <w:szCs w:val="18"/>
              </w:rPr>
              <w:t xml:space="preserve">2</w:t>
            </w:r>
          </w:p>
        </w:tc>
        <w:tc>
          <w:tcPr>
            <w:tcW w:type="pct" w:w="16%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line="276"/>
            </w:pPr>
            <w:r>
              <w:rPr>
                <w:b w:val="false"/>
                <w:bCs w:val="false"/>
                <w:color w:val="182030"/>
                <w:sz w:val="18"/>
                <w:szCs w:val="18"/>
              </w:rPr>
              <w:t xml:space="preserve">苦参（苦参碱类）</w:t>
            </w:r>
          </w:p>
        </w:tc>
        <w:tc>
          <w:tcPr>
            <w:tcW w:type="pct" w:w="50%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line="276"/>
            </w:pPr>
            <w:r>
              <w:rPr>
                <w:b w:val="false"/>
                <w:bCs w:val="false"/>
                <w:color w:val="182030"/>
                <w:sz w:val="18"/>
                <w:szCs w:val="18"/>
              </w:rPr>
              <w:t xml:space="preserve">苦参素注射液上市（HBV适应症）</w:t>
            </w:r>
          </w:p>
        </w:tc>
        <w:tc>
          <w:tcPr>
            <w:tcW w:type="pct" w:w="24%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line="276"/>
            </w:pPr>
            <w:r>
              <w:rPr>
                <w:b w:val="false"/>
                <w:bCs w:val="false"/>
                <w:color w:val="182030"/>
                <w:sz w:val="18"/>
                <w:szCs w:val="18"/>
              </w:rPr>
              <w:t xml:space="preserve">同上</w:t>
            </w:r>
          </w:p>
        </w:tc>
      </w:tr>
      <w:tr>
        <w:trPr>
          <w:cantSplit/>
        </w:trPr>
        <w:tc>
          <w:tcPr>
            <w:tcW w:type="pct" w:w="10%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line="276"/>
            </w:pPr>
            <w:r>
              <w:rPr>
                <w:b w:val="false"/>
                <w:bCs w:val="false"/>
                <w:color w:val="182030"/>
                <w:sz w:val="18"/>
                <w:szCs w:val="18"/>
              </w:rPr>
              <w:t xml:space="preserve">3</w:t>
            </w:r>
          </w:p>
        </w:tc>
        <w:tc>
          <w:tcPr>
            <w:tcW w:type="pct" w:w="16%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line="276"/>
            </w:pPr>
            <w:r>
              <w:rPr>
                <w:b w:val="false"/>
                <w:bCs w:val="false"/>
                <w:color w:val="182030"/>
                <w:sz w:val="18"/>
                <w:szCs w:val="18"/>
              </w:rPr>
              <w:t xml:space="preserve">甘草（甘草酸类）</w:t>
            </w:r>
          </w:p>
        </w:tc>
        <w:tc>
          <w:tcPr>
            <w:tcW w:type="pct" w:w="50%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line="276"/>
            </w:pPr>
            <w:r>
              <w:rPr>
                <w:b w:val="false"/>
                <w:bCs w:val="false"/>
                <w:color w:val="182030"/>
                <w:sz w:val="18"/>
                <w:szCs w:val="18"/>
              </w:rPr>
              <w:t xml:space="preserve">甘草酸二铵/异甘草酸镁上市肝药</w:t>
            </w:r>
          </w:p>
        </w:tc>
        <w:tc>
          <w:tcPr>
            <w:tcW w:type="pct" w:w="24%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line="276"/>
            </w:pPr>
            <w:r>
              <w:rPr>
                <w:b w:val="false"/>
                <w:bCs w:val="false"/>
                <w:color w:val="182030"/>
                <w:sz w:val="18"/>
                <w:szCs w:val="18"/>
              </w:rPr>
              <w:t xml:space="preserve">同上</w:t>
            </w:r>
          </w:p>
        </w:tc>
      </w:tr>
      <w:tr>
        <w:trPr>
          <w:cantSplit/>
        </w:trPr>
        <w:tc>
          <w:tcPr>
            <w:tcW w:type="pct" w:w="10%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line="276"/>
            </w:pPr>
            <w:r>
              <w:rPr>
                <w:b w:val="false"/>
                <w:bCs w:val="false"/>
                <w:color w:val="182030"/>
                <w:sz w:val="18"/>
                <w:szCs w:val="18"/>
              </w:rPr>
              <w:t xml:space="preserve">4</w:t>
            </w:r>
          </w:p>
        </w:tc>
        <w:tc>
          <w:tcPr>
            <w:tcW w:type="pct" w:w="16%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line="276"/>
            </w:pPr>
            <w:r>
              <w:rPr>
                <w:b w:val="false"/>
                <w:bCs w:val="false"/>
                <w:color w:val="182030"/>
                <w:sz w:val="18"/>
                <w:szCs w:val="18"/>
              </w:rPr>
              <w:t xml:space="preserve">雷公藤</w:t>
            </w:r>
          </w:p>
        </w:tc>
        <w:tc>
          <w:tcPr>
            <w:tcW w:type="pct" w:w="50%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line="276"/>
            </w:pPr>
            <w:r>
              <w:rPr>
                <w:b w:val="false"/>
                <w:bCs w:val="false"/>
                <w:color w:val="182030"/>
                <w:sz w:val="18"/>
                <w:szCs w:val="18"/>
              </w:rPr>
              <w:t xml:space="preserve">毒性药材，仅2个无毒成分入库</w:t>
            </w:r>
          </w:p>
        </w:tc>
        <w:tc>
          <w:tcPr>
            <w:tcW w:type="pct" w:w="24%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line="276"/>
            </w:pPr>
            <w:r>
              <w:rPr>
                <w:b w:val="false"/>
                <w:bCs w:val="false"/>
                <w:color w:val="182030"/>
                <w:sz w:val="18"/>
                <w:szCs w:val="18"/>
              </w:rPr>
              <w:t xml:space="preserve">保留毒性标注，不作创新主张</w:t>
            </w:r>
          </w:p>
        </w:tc>
      </w:tr>
      <w:tr>
        <w:trPr>
          <w:cantSplit/>
        </w:trPr>
        <w:tc>
          <w:tcPr>
            <w:tcW w:type="pct" w:w="10%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line="276"/>
            </w:pPr>
            <w:r>
              <w:rPr>
                <w:b w:val="false"/>
                <w:bCs w:val="false"/>
                <w:color w:val="182030"/>
                <w:sz w:val="18"/>
                <w:szCs w:val="18"/>
              </w:rPr>
              <w:t xml:space="preserve">5</w:t>
            </w:r>
          </w:p>
        </w:tc>
        <w:tc>
          <w:tcPr>
            <w:tcW w:type="pct" w:w="16%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line="276"/>
            </w:pPr>
            <w:r>
              <w:rPr>
                <w:b w:val="false"/>
                <w:bCs w:val="false"/>
                <w:color w:val="182030"/>
                <w:sz w:val="18"/>
                <w:szCs w:val="18"/>
              </w:rPr>
              <w:t xml:space="preserve">丹参（丹参酮类）</w:t>
            </w:r>
          </w:p>
        </w:tc>
        <w:tc>
          <w:tcPr>
            <w:tcW w:type="pct" w:w="50%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line="276"/>
            </w:pPr>
            <w:r>
              <w:rPr>
                <w:b w:val="false"/>
                <w:bCs w:val="false"/>
                <w:color w:val="182030"/>
                <w:sz w:val="18"/>
                <w:szCs w:val="18"/>
              </w:rPr>
              <w:t xml:space="preserve">丹参酮IIA保肝研究广泛</w:t>
            </w:r>
          </w:p>
        </w:tc>
        <w:tc>
          <w:tcPr>
            <w:tcW w:type="pct" w:w="24%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line="276"/>
            </w:pPr>
            <w:r>
              <w:rPr>
                <w:b w:val="false"/>
                <w:bCs w:val="false"/>
                <w:color w:val="182030"/>
                <w:sz w:val="18"/>
                <w:szCs w:val="18"/>
              </w:rPr>
              <w:t xml:space="preserve">同上</w:t>
            </w:r>
          </w:p>
        </w:tc>
      </w:tr>
      <w:tr>
        <w:trPr>
          <w:cantSplit/>
        </w:trPr>
        <w:tc>
          <w:tcPr>
            <w:tcW w:type="pct" w:w="10%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line="276"/>
            </w:pPr>
            <w:r>
              <w:rPr>
                <w:b w:val="false"/>
                <w:bCs w:val="false"/>
                <w:color w:val="182030"/>
                <w:sz w:val="18"/>
                <w:szCs w:val="18"/>
              </w:rPr>
              <w:t xml:space="preserve">库内</w:t>
            </w:r>
          </w:p>
        </w:tc>
        <w:tc>
          <w:tcPr>
            <w:tcW w:type="pct" w:w="16%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line="276"/>
            </w:pPr>
            <w:r>
              <w:rPr>
                <w:b w:val="false"/>
                <w:bCs w:val="false"/>
                <w:color w:val="182030"/>
                <w:sz w:val="18"/>
                <w:szCs w:val="18"/>
              </w:rPr>
              <w:t xml:space="preserve">水飞蓟、五味子</w:t>
            </w:r>
          </w:p>
        </w:tc>
        <w:tc>
          <w:tcPr>
            <w:tcW w:type="pct" w:w="50%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line="276"/>
            </w:pPr>
            <w:r>
              <w:rPr>
                <w:b w:val="false"/>
                <w:bCs w:val="false"/>
                <w:color w:val="182030"/>
                <w:sz w:val="18"/>
                <w:szCs w:val="18"/>
              </w:rPr>
              <w:t xml:space="preserve">利加隆上市；五酯/联苯双酯/双环醇上市</w:t>
            </w:r>
          </w:p>
        </w:tc>
        <w:tc>
          <w:tcPr>
            <w:tcW w:type="pct" w:w="24%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line="276"/>
            </w:pPr>
            <w:r>
              <w:rPr>
                <w:b w:val="false"/>
                <w:bCs w:val="false"/>
                <w:color w:val="182030"/>
                <w:sz w:val="18"/>
                <w:szCs w:val="18"/>
              </w:rPr>
              <w:t xml:space="preserve">初版库本身即已知保肝药集合</w:t>
            </w:r>
          </w:p>
        </w:tc>
      </w:tr>
    </w:tbl>
    <w:p>
      <w:pPr>
        <w:pStyle w:val="Heading2"/>
        <w:spacing w:after="120" w:before="240" w:line="312"/>
      </w:pPr>
      <w:bookmarkStart w:id="100009" w:name="_Toc100009"/>
      <w:r>
        <w:rPr>
          <w:rFonts w:ascii="Times New Roman" w:eastAsia="SimHei"/>
          <w:b/>
          <w:bCs/>
          <w:color w:val="0B1220"/>
        </w:rPr>
        <w:t xml:space="preserve">5.2 冷门药材自主探索（新方向）</w:t>
      </w:r>
      <w:bookmarkEnd w:id="100009"/>
    </w:p>
    <w:p>
      <w:pPr>
        <w:spacing w:after="60" w:line="312"/>
        <w:ind w:firstLine="420"/>
        <w:jc w:val="both"/>
      </w:pPr>
      <w:r>
        <w:rPr>
          <w:b w:val="false"/>
          <w:bCs w:val="false"/>
          <w:color w:val="182030"/>
          <w:sz w:val="22"/>
          <w:szCs w:val="22"/>
        </w:rPr>
        <w:t xml:space="preserve">方法：遴选7味冷门但有MASH相关线索的药材（樟芝、桦褐孔菌、獐牙菜属、藤茶、叶下珠、积雪草、苦丁茶），文献锚定57个特征成分→PubChem解析（CID可溯源）→ADMET过滤→生产模型推理+三级标注→top29对接THR-β/ACC→文献证据分级（A临床/B动物/C体外/D传统）。</w:t>
      </w:r>
    </w:p>
    <w:p>
      <w:pPr>
        <w:spacing w:after="60" w:line="312"/>
        <w:ind w:firstLine="420"/>
        <w:jc w:val="both"/>
      </w:pPr>
      <w:r>
        <w:rPr>
          <w:b/>
          <w:bCs/>
          <w:color w:val="182030"/>
          <w:sz w:val="22"/>
          <w:szCs w:val="22"/>
        </w:rPr>
        <w:t xml:space="preserve">计算结果（诚实呈现，含负面）：</w:t>
      </w:r>
      <w:r>
        <w:rPr>
          <w:color w:val="182030"/>
          <w:sz w:val="22"/>
          <w:szCs w:val="22"/>
        </w:rPr>
        <w:t xml:space="preserve">FXR轴冷门药材整体弱于知名药味（μ 4.2—6.6 vs 6.5—8.4），无一达活性阈值，且依D2结论该轴绝对值本就不可信，仅作参考；ACC轴对接广泛强势（-7.0—-9.9），樟芝zhankuic acid A(-9.92)、antcin A(-9.57)、桦褐孔菌inotodiol(-9.79)最突出（阳性药ND-646=-10.52）；THR-β轴甾体骨架全部对接失败（正分，见D5），该轴对三萜类成分不可用。</w:t>
      </w:r>
    </w:p>
    <w:p>
      <w:pPr>
        <w:keepNext/>
        <w:spacing w:after="80" w:before="120"/>
        <w:jc w:val="center"/>
      </w:pPr>
      <w:r>
        <w:rPr>
          <w:b/>
          <w:bCs/>
          <w:color w:val="506070"/>
          <w:sz w:val="20"/>
          <w:szCs w:val="20"/>
        </w:rPr>
        <w:t xml:space="preserve">表4  冷门药材文献证据分级与最终推荐</w:t>
      </w:r>
    </w:p>
    <w:tbl>
      <w:tblPr>
        <w:tblW w:type="pct" w:w="100%"/>
        <w:tblBorders>
          <w:top w:val="single" w:color="9AA6B2" w:sz="2"/>
          <w:left w:val="none" w:color="FFFFFF" w:sz="0"/>
          <w:bottom w:val="single" w:color="9AA6B2" w:sz="2"/>
          <w:right w:val="none" w:color="FFFFFF" w:sz="0"/>
          <w:insideH w:val="single" w:color="D0D0D0" w:sz="1"/>
          <w:insideV w:val="none" w:color="FFFFFF" w:sz="0"/>
        </w:tblBorders>
      </w:tblPr>
      <w:tblGrid>
        <w:gridCol w:w="100"/>
        <w:gridCol w:w="100"/>
        <w:gridCol w:w="100"/>
        <w:gridCol w:w="100"/>
        <w:gridCol w:w="100"/>
      </w:tblGrid>
      <w:tr>
        <w:trPr>
          <w:cantSplit/>
          <w:tblHeader/>
        </w:trPr>
        <w:tc>
          <w:tcPr>
            <w:tcW w:type="pct" w:w="8%"/>
            <w:shd w:fill="EDF2F7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line="276"/>
            </w:pPr>
            <w:r>
              <w:rPr>
                <w:b/>
                <w:bCs/>
                <w:color w:val="0B1220"/>
                <w:sz w:val="18"/>
                <w:szCs w:val="18"/>
              </w:rPr>
              <w:t xml:space="preserve">推荐位</w:t>
            </w:r>
          </w:p>
        </w:tc>
        <w:tc>
          <w:tcPr>
            <w:tcW w:type="pct" w:w="17%"/>
            <w:shd w:fill="EDF2F7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line="276"/>
            </w:pPr>
            <w:r>
              <w:rPr>
                <w:b/>
                <w:bCs/>
                <w:color w:val="0B1220"/>
                <w:sz w:val="18"/>
                <w:szCs w:val="18"/>
              </w:rPr>
              <w:t xml:space="preserve">药材</w:t>
            </w:r>
          </w:p>
        </w:tc>
        <w:tc>
          <w:tcPr>
            <w:tcW w:type="pct" w:w="12%"/>
            <w:shd w:fill="EDF2F7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line="276"/>
            </w:pPr>
            <w:r>
              <w:rPr>
                <w:b/>
                <w:bCs/>
                <w:color w:val="0B1220"/>
                <w:sz w:val="18"/>
                <w:szCs w:val="18"/>
              </w:rPr>
              <w:t xml:space="preserve">证据等级</w:t>
            </w:r>
          </w:p>
        </w:tc>
        <w:tc>
          <w:tcPr>
            <w:tcW w:type="pct" w:w="42%"/>
            <w:shd w:fill="EDF2F7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line="276"/>
            </w:pPr>
            <w:r>
              <w:rPr>
                <w:b/>
                <w:bCs/>
                <w:color w:val="0B1220"/>
                <w:sz w:val="18"/>
                <w:szCs w:val="18"/>
              </w:rPr>
              <w:t xml:space="preserve">核心依据</w:t>
            </w:r>
          </w:p>
        </w:tc>
        <w:tc>
          <w:tcPr>
            <w:tcW w:type="pct" w:w="21%"/>
            <w:shd w:fill="EDF2F7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line="276"/>
            </w:pPr>
            <w:r>
              <w:rPr>
                <w:b/>
                <w:bCs/>
                <w:color w:val="0B1220"/>
                <w:sz w:val="18"/>
                <w:szCs w:val="18"/>
              </w:rPr>
              <w:t xml:space="preserve">风险/边界</w:t>
            </w:r>
          </w:p>
        </w:tc>
      </w:tr>
      <w:tr>
        <w:trPr>
          <w:cantSplit/>
        </w:trPr>
        <w:tc>
          <w:tcPr>
            <w:tcW w:type="pct" w:w="8%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line="276"/>
            </w:pPr>
            <w:r>
              <w:rPr>
                <w:b w:val="false"/>
                <w:bCs w:val="false"/>
                <w:color w:val="182030"/>
                <w:sz w:val="18"/>
                <w:szCs w:val="18"/>
              </w:rPr>
              <w:t xml:space="preserve">1</w:t>
            </w:r>
          </w:p>
        </w:tc>
        <w:tc>
          <w:tcPr>
            <w:tcW w:type="pct" w:w="17%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line="276"/>
            </w:pPr>
            <w:r>
              <w:rPr>
                <w:b w:val="false"/>
                <w:bCs w:val="false"/>
                <w:color w:val="182030"/>
                <w:sz w:val="18"/>
                <w:szCs w:val="18"/>
              </w:rPr>
              <w:t xml:space="preserve">樟芝 Antrodia cinnamomea</w:t>
            </w:r>
          </w:p>
        </w:tc>
        <w:tc>
          <w:tcPr>
            <w:tcW w:type="pct" w:w="12%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line="276"/>
            </w:pPr>
            <w:r>
              <w:rPr>
                <w:b w:val="false"/>
                <w:bCs w:val="false"/>
                <w:color w:val="182030"/>
                <w:sz w:val="18"/>
                <w:szCs w:val="18"/>
              </w:rPr>
              <w:t xml:space="preserve">A-</w:t>
            </w:r>
          </w:p>
        </w:tc>
        <w:tc>
          <w:tcPr>
            <w:tcW w:type="pct" w:w="42%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line="276"/>
            </w:pPr>
            <w:r>
              <w:rPr>
                <w:b w:val="false"/>
                <w:bCs w:val="false"/>
                <w:color w:val="182030"/>
                <w:sz w:val="18"/>
                <w:szCs w:val="18"/>
              </w:rPr>
              <w:t xml:space="preserve">唯一有NASH小样本RCT的冷门药材（28例双盲6个月，SteatoTest/ActiTest/TNF-α显著改善，PMID 32657670）；antcin/antrodin/zhankuic acid麦角甾烷骨架新颖；无任何国家批准药品、无NASH注册试验；计算ACC轴-9.6支持</w:t>
            </w:r>
          </w:p>
        </w:tc>
        <w:tc>
          <w:tcPr>
            <w:tcW w:type="pct" w:w="21%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line="276"/>
            </w:pPr>
            <w:r>
              <w:rPr>
                <w:b w:val="false"/>
                <w:bCs w:val="false"/>
                <w:color w:val="182030"/>
                <w:sz w:val="18"/>
                <w:szCs w:val="18"/>
              </w:rPr>
              <w:t xml:space="preserve">RCT仅28例且单一中心；大陆无合法原料渠道（监管风险）</w:t>
            </w:r>
          </w:p>
        </w:tc>
      </w:tr>
      <w:tr>
        <w:trPr>
          <w:cantSplit/>
        </w:trPr>
        <w:tc>
          <w:tcPr>
            <w:tcW w:type="pct" w:w="8%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line="276"/>
            </w:pPr>
            <w:r>
              <w:rPr>
                <w:b w:val="false"/>
                <w:bCs w:val="false"/>
                <w:color w:val="182030"/>
                <w:sz w:val="18"/>
                <w:szCs w:val="18"/>
              </w:rPr>
              <w:t xml:space="preserve">2</w:t>
            </w:r>
          </w:p>
        </w:tc>
        <w:tc>
          <w:tcPr>
            <w:tcW w:type="pct" w:w="17%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line="276"/>
            </w:pPr>
            <w:r>
              <w:rPr>
                <w:b w:val="false"/>
                <w:bCs w:val="false"/>
                <w:color w:val="182030"/>
                <w:sz w:val="18"/>
                <w:szCs w:val="18"/>
              </w:rPr>
              <w:t xml:space="preserve">桦褐孔菌 Inonotus obliquus</w:t>
            </w:r>
          </w:p>
        </w:tc>
        <w:tc>
          <w:tcPr>
            <w:tcW w:type="pct" w:w="12%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line="276"/>
            </w:pPr>
            <w:r>
              <w:rPr>
                <w:b w:val="false"/>
                <w:bCs w:val="false"/>
                <w:color w:val="182030"/>
                <w:sz w:val="18"/>
                <w:szCs w:val="18"/>
              </w:rPr>
              <w:t xml:space="preserve">B</w:t>
            </w:r>
          </w:p>
        </w:tc>
        <w:tc>
          <w:tcPr>
            <w:tcW w:type="pct" w:w="42%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line="276"/>
            </w:pPr>
            <w:r>
              <w:rPr>
                <w:b w:val="false"/>
                <w:bCs w:val="false"/>
                <w:color w:val="182030"/>
                <w:sz w:val="18"/>
                <w:szCs w:val="18"/>
              </w:rPr>
              <w:t xml:space="preserve">提取物及inotodiol/trametenolic acid经FXR/SHP/SREBP-1c轴改善HFD-NAFLD（PMID 35278405，与本项目三靶点策略直接吻合）；无药品；计算ACC-9.8</w:t>
            </w:r>
          </w:p>
        </w:tc>
        <w:tc>
          <w:tcPr>
            <w:tcW w:type="pct" w:w="21%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line="276"/>
            </w:pPr>
            <w:r>
              <w:rPr>
                <w:b w:val="false"/>
                <w:bCs w:val="false"/>
                <w:color w:val="182030"/>
                <w:sz w:val="18"/>
                <w:szCs w:val="18"/>
              </w:rPr>
              <w:t xml:space="preserve">国内保健品营销泛滥拉低冷门成色</w:t>
            </w:r>
          </w:p>
        </w:tc>
      </w:tr>
      <w:tr>
        <w:trPr>
          <w:cantSplit/>
        </w:trPr>
        <w:tc>
          <w:tcPr>
            <w:tcW w:type="pct" w:w="8%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line="276"/>
            </w:pPr>
            <w:r>
              <w:rPr>
                <w:b w:val="false"/>
                <w:bCs w:val="false"/>
                <w:color w:val="182030"/>
                <w:sz w:val="18"/>
                <w:szCs w:val="18"/>
              </w:rPr>
              <w:t xml:space="preserve">3</w:t>
            </w:r>
          </w:p>
        </w:tc>
        <w:tc>
          <w:tcPr>
            <w:tcW w:type="pct" w:w="17%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line="276"/>
            </w:pPr>
            <w:r>
              <w:rPr>
                <w:b w:val="false"/>
                <w:bCs w:val="false"/>
                <w:color w:val="182030"/>
                <w:sz w:val="18"/>
                <w:szCs w:val="18"/>
              </w:rPr>
              <w:t xml:space="preserve">苦丁茶 Ilex kudingcha</w:t>
            </w:r>
          </w:p>
        </w:tc>
        <w:tc>
          <w:tcPr>
            <w:tcW w:type="pct" w:w="12%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line="276"/>
            </w:pPr>
            <w:r>
              <w:rPr>
                <w:b w:val="false"/>
                <w:bCs w:val="false"/>
                <w:color w:val="182030"/>
                <w:sz w:val="18"/>
                <w:szCs w:val="18"/>
              </w:rPr>
              <w:t xml:space="preserve">B</w:t>
            </w:r>
          </w:p>
        </w:tc>
        <w:tc>
          <w:tcPr>
            <w:tcW w:type="pct" w:w="42%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line="276"/>
            </w:pPr>
            <w:r>
              <w:rPr>
                <w:b w:val="false"/>
                <w:bCs w:val="false"/>
                <w:color w:val="182030"/>
                <w:sz w:val="18"/>
                <w:szCs w:val="18"/>
              </w:rPr>
              <w:t xml:space="preserve">LXRβ拮抗机制（PMID 23226556）+RCT meta血脂阳性；kudinoside皂苷骨架新颖；无药品</w:t>
            </w:r>
          </w:p>
        </w:tc>
        <w:tc>
          <w:tcPr>
            <w:tcW w:type="pct" w:w="21%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line="276"/>
            </w:pPr>
            <w:r>
              <w:rPr>
                <w:b w:val="false"/>
                <w:bCs w:val="false"/>
                <w:color w:val="182030"/>
                <w:sz w:val="18"/>
                <w:szCs w:val="18"/>
              </w:rPr>
              <w:t xml:space="preserve">特征皂苷MW&gt;500被ADMET过滤，苷元数据不足</w:t>
            </w:r>
          </w:p>
        </w:tc>
      </w:tr>
      <w:tr>
        <w:trPr>
          <w:cantSplit/>
        </w:trPr>
        <w:tc>
          <w:tcPr>
            <w:tcW w:type="pct" w:w="8%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line="276"/>
            </w:pPr>
            <w:r>
              <w:rPr>
                <w:b w:val="false"/>
                <w:bCs w:val="false"/>
                <w:color w:val="182030"/>
                <w:sz w:val="18"/>
                <w:szCs w:val="18"/>
              </w:rPr>
              <w:t xml:space="preserve">4</w:t>
            </w:r>
          </w:p>
        </w:tc>
        <w:tc>
          <w:tcPr>
            <w:tcW w:type="pct" w:w="17%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line="276"/>
            </w:pPr>
            <w:r>
              <w:rPr>
                <w:b w:val="false"/>
                <w:bCs w:val="false"/>
                <w:color w:val="182030"/>
                <w:sz w:val="18"/>
                <w:szCs w:val="18"/>
              </w:rPr>
              <w:t xml:space="preserve">积雪草 Centella</w:t>
            </w:r>
          </w:p>
        </w:tc>
        <w:tc>
          <w:tcPr>
            <w:tcW w:type="pct" w:w="12%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line="276"/>
            </w:pPr>
            <w:r>
              <w:rPr>
                <w:b w:val="false"/>
                <w:bCs w:val="false"/>
                <w:color w:val="182030"/>
                <w:sz w:val="18"/>
                <w:szCs w:val="18"/>
              </w:rPr>
              <w:t xml:space="preserve">B-</w:t>
            </w:r>
          </w:p>
        </w:tc>
        <w:tc>
          <w:tcPr>
            <w:tcW w:type="pct" w:w="42%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line="276"/>
            </w:pPr>
            <w:r>
              <w:rPr>
                <w:b w:val="false"/>
                <w:bCs w:val="false"/>
                <w:color w:val="182030"/>
                <w:sz w:val="18"/>
                <w:szCs w:val="18"/>
              </w:rPr>
              <w:t xml:space="preserve">asiatic acid抗肝纤维化多通路证据（PMID 35963324），差异化定位抗纤维化终点；肝方向无上市药</w:t>
            </w:r>
          </w:p>
        </w:tc>
        <w:tc>
          <w:tcPr>
            <w:tcW w:type="pct" w:w="21%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line="276"/>
            </w:pPr>
            <w:r>
              <w:rPr>
                <w:b w:val="false"/>
                <w:bCs w:val="false"/>
                <w:color w:val="182030"/>
                <w:sz w:val="18"/>
                <w:szCs w:val="18"/>
              </w:rPr>
              <w:t xml:space="preserve">LiverTox有罕见肝损报告</w:t>
            </w:r>
          </w:p>
        </w:tc>
      </w:tr>
      <w:tr>
        <w:trPr>
          <w:cantSplit/>
        </w:trPr>
        <w:tc>
          <w:tcPr>
            <w:tcW w:type="pct" w:w="8%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line="276"/>
            </w:pPr>
            <w:r>
              <w:rPr>
                <w:b w:val="false"/>
                <w:bCs w:val="false"/>
                <w:color w:val="182030"/>
                <w:sz w:val="18"/>
                <w:szCs w:val="18"/>
              </w:rPr>
              <w:t xml:space="preserve">5</w:t>
            </w:r>
          </w:p>
        </w:tc>
        <w:tc>
          <w:tcPr>
            <w:tcW w:type="pct" w:w="17%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line="276"/>
            </w:pPr>
            <w:r>
              <w:rPr>
                <w:b w:val="false"/>
                <w:bCs w:val="false"/>
                <w:color w:val="182030"/>
                <w:sz w:val="18"/>
                <w:szCs w:val="18"/>
              </w:rPr>
              <w:t xml:space="preserve">藤茶/DHM</w:t>
            </w:r>
          </w:p>
        </w:tc>
        <w:tc>
          <w:tcPr>
            <w:tcW w:type="pct" w:w="12%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line="276"/>
            </w:pPr>
            <w:r>
              <w:rPr>
                <w:b w:val="false"/>
                <w:bCs w:val="false"/>
                <w:color w:val="182030"/>
                <w:sz w:val="18"/>
                <w:szCs w:val="18"/>
              </w:rPr>
              <w:t xml:space="preserve">A-（附警示）</w:t>
            </w:r>
          </w:p>
        </w:tc>
        <w:tc>
          <w:tcPr>
            <w:tcW w:type="pct" w:w="42%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line="276"/>
            </w:pPr>
            <w:r>
              <w:rPr>
                <w:b w:val="false"/>
                <w:bCs w:val="false"/>
                <w:color w:val="182030"/>
                <w:sz w:val="18"/>
                <w:szCs w:val="18"/>
              </w:rPr>
              <w:t xml:space="preserve">60例RCT阳性（PMID 26032587）</w:t>
            </w:r>
          </w:p>
        </w:tc>
        <w:tc>
          <w:tcPr>
            <w:tcW w:type="pct" w:w="21%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line="276"/>
            </w:pPr>
            <w:r>
              <w:rPr>
                <w:b w:val="false"/>
                <w:bCs w:val="false"/>
                <w:color w:val="182030"/>
                <w:sz w:val="18"/>
                <w:szCs w:val="18"/>
              </w:rPr>
              <w:t xml:space="preserve">该RCT与同组白藜芦醇试验数据高度相似已遭质疑，临床可信度存疑</w:t>
            </w:r>
          </w:p>
        </w:tc>
      </w:tr>
      <w:tr>
        <w:trPr>
          <w:cantSplit/>
        </w:trPr>
        <w:tc>
          <w:tcPr>
            <w:tcW w:type="pct" w:w="8%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line="276"/>
            </w:pPr>
            <w:r>
              <w:rPr>
                <w:b w:val="false"/>
                <w:bCs w:val="false"/>
                <w:color w:val="182030"/>
                <w:sz w:val="18"/>
                <w:szCs w:val="18"/>
              </w:rPr>
              <w:t xml:space="preserve">排除</w:t>
            </w:r>
          </w:p>
        </w:tc>
        <w:tc>
          <w:tcPr>
            <w:tcW w:type="pct" w:w="17%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line="276"/>
            </w:pPr>
            <w:r>
              <w:rPr>
                <w:b w:val="false"/>
                <w:bCs w:val="false"/>
                <w:color w:val="182030"/>
                <w:sz w:val="18"/>
                <w:szCs w:val="18"/>
              </w:rPr>
              <w:t xml:space="preserve">叶下珠 Phyllanthus</w:t>
            </w:r>
          </w:p>
        </w:tc>
        <w:tc>
          <w:tcPr>
            <w:tcW w:type="pct" w:w="12%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line="276"/>
            </w:pPr>
            <w:r>
              <w:rPr>
                <w:b w:val="false"/>
                <w:bCs w:val="false"/>
                <w:color w:val="182030"/>
                <w:sz w:val="18"/>
                <w:szCs w:val="18"/>
              </w:rPr>
              <w:t xml:space="preserve">B+/人体-</w:t>
            </w:r>
          </w:p>
        </w:tc>
        <w:tc>
          <w:tcPr>
            <w:tcW w:type="pct" w:w="42%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line="276"/>
            </w:pPr>
            <w:r>
              <w:rPr>
                <w:b w:val="false"/>
                <w:bCs w:val="false"/>
                <w:color w:val="182030"/>
                <w:sz w:val="18"/>
                <w:szCs w:val="18"/>
              </w:rPr>
              <w:t xml:space="preserve">动物阳性但1年RCT阴性（PMID 37313177）+已有HBV适应症上市药</w:t>
            </w:r>
          </w:p>
        </w:tc>
        <w:tc>
          <w:tcPr>
            <w:tcW w:type="pct" w:w="21%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line="276"/>
            </w:pPr>
            <w:r>
              <w:rPr>
                <w:b w:val="false"/>
                <w:bCs w:val="false"/>
                <w:color w:val="182030"/>
                <w:sz w:val="18"/>
                <w:szCs w:val="18"/>
              </w:rPr>
              <w:t xml:space="preserve">按排除标准剔除</w:t>
            </w:r>
          </w:p>
        </w:tc>
      </w:tr>
    </w:tbl>
    <w:p>
      <w:pPr>
        <w:spacing w:after="60" w:line="312"/>
        <w:ind w:firstLine="420"/>
        <w:jc w:val="both"/>
      </w:pPr>
      <w:r>
        <w:rPr>
          <w:b w:val="false"/>
          <w:bCs w:val="false"/>
          <w:color w:val="182030"/>
          <w:sz w:val="22"/>
          <w:szCs w:val="22"/>
        </w:rPr>
        <w:t xml:space="preserve">獐牙菜属（swertiamarin等）条件保留：NAFLD动物证据扎实（PMID 31005808/33794740），但已有青叶胆片等传统黄疸适应症上市药，不满足“无上市肝药”的严格口径，仅保留单体新适应症方向。</w:t>
      </w:r>
    </w:p>
    <w:p>
      <w:pPr>
        <w:spacing w:after="60" w:line="312"/>
        <w:ind w:firstLine="420"/>
        <w:jc w:val="both"/>
      </w:pPr>
      <w:r>
        <w:rPr>
          <w:b/>
          <w:bCs/>
          <w:color w:val="182030"/>
          <w:sz w:val="22"/>
          <w:szCs w:val="22"/>
        </w:rPr>
        <w:t xml:space="preserve">回答核心问题——能否找到冷门中药对MASH有显著效果的创新点：能，但有严格边界。</w:t>
      </w:r>
      <w:r>
        <w:rPr>
          <w:color w:val="182030"/>
          <w:sz w:val="22"/>
          <w:szCs w:val="22"/>
        </w:rPr>
        <w:t xml:space="preserve">最强候选是樟芝（唯一同时满足：有NASH临床证据+无药品+骨架新颖+可计算对接），其次是桦褐孔菌（机制证据与本项目FXR/脂合成轴直接吻合）。但“显著效果”目前只在28例小样本RCT（樟芝）与动物水平（其余），距确证还远——这正是留给本项目后续体内外验证的空间。相反，初版知名药味全部被排除出创新主张。</w:t>
      </w:r>
    </w:p>
    <w:p>
      <w:pPr>
        <w:pStyle w:val="Heading2"/>
        <w:spacing w:after="120" w:before="240" w:line="312"/>
      </w:pPr>
      <w:bookmarkStart w:id="100010" w:name="_Toc100010"/>
      <w:r>
        <w:rPr>
          <w:rFonts w:ascii="Times New Roman" w:eastAsia="SimHei"/>
          <w:b/>
          <w:bCs/>
          <w:color w:val="0B1220"/>
        </w:rPr>
        <w:t xml:space="preserve">5.3 生物药方向可行性评估</w:t>
      </w:r>
      <w:bookmarkEnd w:id="100010"/>
    </w:p>
    <w:p>
      <w:pPr>
        <w:spacing w:after="60" w:line="312"/>
        <w:ind w:firstLine="420"/>
        <w:jc w:val="both"/>
      </w:pPr>
      <w:r>
        <w:rPr>
          <w:b/>
          <w:bCs/>
          <w:color w:val="182030"/>
          <w:sz w:val="22"/>
          <w:szCs w:val="22"/>
        </w:rPr>
        <w:t xml:space="preserve">结论：生物药方向对本科大创不适宜，且“显著效果”的生物药已无冷门空间。</w:t>
      </w:r>
      <w:r>
        <w:rPr>
          <w:color w:val="182030"/>
          <w:sz w:val="22"/>
          <w:szCs w:val="22"/>
        </w:rPr>
        <w:t xml:space="preserve">依据：已获批2个（resmetirom 2024、semaglutide 2025-08）；效果显著的生物药管线已被瓜分完毕——FGF21三强2025年被Novo/Roche/GSK合计约100亿美元收购，GLP-1类III期扎堆，凡显示显著疗效的生物药几乎都已进入大厂临床。真实生物药冷门（口服HSD17B13仅1家PoC、miRNA疗法刚进I期、F4/失代偿人群无药）均超出本科团队资源、周期与合规能力。</w:t>
      </w:r>
    </w:p>
    <w:p>
      <w:pPr>
        <w:spacing w:after="60" w:line="312"/>
        <w:ind w:firstLine="420"/>
        <w:jc w:val="both"/>
      </w:pPr>
      <w:r>
        <w:rPr>
          <w:b w:val="false"/>
          <w:bCs w:val="false"/>
          <w:color w:val="182030"/>
          <w:sz w:val="22"/>
          <w:szCs w:val="22"/>
        </w:rPr>
        <w:t xml:space="preserve">一代FXR全线临床失败（OCA两次被拒、终止NASH开发）对项目的重要提示：天然产物FXR调节的叙事应定位“温和多靶点协同”而非“强激动”。HTD1801（小檗碱成盐改造，MASH III期）的范式表明：天然产物单体+成药性改造+现代终点（MRI-PDFF）的IIa设计是注册库里可量化的空白生态位，也是本团队可执行的方向。</w:t>
      </w:r>
    </w:p>
    <w:p>
      <w:pPr>
        <w:keepNext/>
        <w:spacing w:after="80" w:before="120"/>
        <w:jc w:val="center"/>
      </w:pPr>
      <w:r>
        <w:rPr>
          <w:b/>
          <w:bCs/>
          <w:color w:val="506070"/>
          <w:sz w:val="20"/>
          <w:szCs w:val="20"/>
        </w:rPr>
        <w:t xml:space="preserve">图3  131个初版成分的三级置信标注分布（各药材）</w:t>
      </w:r>
    </w:p>
    <w:p>
      <w:pPr>
        <w:spacing w:after="160"/>
        <w:jc w:val="center"/>
      </w:pPr>
      <w:r>
        <w:drawing>
          <wp:inline distT="0" distB="0" distL="0" distR="0">
            <wp:extent cx="5334000" cy="3257550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2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32575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Heading1"/>
        <w:spacing w:after="160" w:before="360" w:line="312"/>
      </w:pPr>
      <w:bookmarkStart w:id="100011" w:name="_Toc100011"/>
      <w:r>
        <w:rPr>
          <w:rFonts w:ascii="Times New Roman" w:eastAsia="SimHei"/>
          <w:b/>
          <w:bCs/>
          <w:color w:val="0B1220"/>
        </w:rPr>
        <w:t xml:space="preserve">六、修正后的秋季计划</w:t>
      </w:r>
      <w:bookmarkEnd w:id="100011"/>
    </w:p>
    <w:p>
      <w:pPr>
        <w:pStyle w:val="ListParagraph"/>
        <w:numPr>
          <w:ilvl w:val="0"/>
          <w:numId w:val="1"/>
        </w:numPr>
        <w:spacing w:after="40" w:line="312"/>
      </w:pPr>
      <w:r>
        <w:rPr>
          <w:color w:val="182030"/>
          <w:sz w:val="22"/>
          <w:szCs w:val="22"/>
        </w:rPr>
        <w:t xml:space="preserve">方法修正（对应D1—D5）：AD层加入Morgan指纹相似度维度（建议maxTan≥0.3才可判域内）；CW-BCS做回顾性验证（以已知多靶点天然配体做召回）；正式修订ADMET规则对三萜类的处理；补PyMOL互作图。</w:t>
      </w:r>
    </w:p>
    <w:p>
      <w:pPr>
        <w:pStyle w:val="ListParagraph"/>
        <w:numPr>
          <w:ilvl w:val="0"/>
          <w:numId w:val="1"/>
        </w:numPr>
        <w:spacing w:after="40" w:line="312"/>
      </w:pPr>
      <w:r>
        <w:rPr>
          <w:color w:val="182030"/>
          <w:sz w:val="22"/>
          <w:szCs w:val="22"/>
        </w:rPr>
        <w:t xml:space="preserve">主线聚焦：以樟芝（首选）与桦褐孔菌为对象，完成antcin/antrodin/inotodiol类骨架的FXR-THRβ-ACC三轴完整刻画+骨架衍生物虚拟扩充，形成“冷门真菌源麦角甾烷三萜抗MASH”特色方向。</w:t>
      </w:r>
    </w:p>
    <w:p>
      <w:pPr>
        <w:pStyle w:val="ListParagraph"/>
        <w:numPr>
          <w:ilvl w:val="0"/>
          <w:numId w:val="1"/>
        </w:numPr>
        <w:spacing w:after="40" w:line="312"/>
      </w:pPr>
      <w:r>
        <w:rPr>
          <w:color w:val="182030"/>
          <w:sz w:val="22"/>
          <w:szCs w:val="22"/>
        </w:rPr>
        <w:t xml:space="preserve">论文定位：以双划分实证外推崩塌+双层置信度标注+冷门真菌药材筛选为主线的方法学论文（普通期刊/会议，符合申报书定位）。</w:t>
      </w:r>
    </w:p>
    <w:p>
      <w:pPr>
        <w:pStyle w:val="ListParagraph"/>
        <w:numPr>
          <w:ilvl w:val="0"/>
          <w:numId w:val="1"/>
        </w:numPr>
        <w:spacing w:after="40" w:line="312"/>
      </w:pPr>
      <w:r>
        <w:rPr>
          <w:color w:val="182030"/>
          <w:sz w:val="22"/>
          <w:szCs w:val="22"/>
        </w:rPr>
        <w:t xml:space="preserve">结题文书准备（结题报告书按学校模板改写）。</w:t>
      </w:r>
    </w:p>
    <w:p>
      <w:pPr>
        <w:pStyle w:val="Heading1"/>
        <w:spacing w:after="160" w:before="360" w:line="312"/>
      </w:pPr>
      <w:bookmarkStart w:id="100012" w:name="_Toc100012"/>
      <w:r>
        <w:rPr>
          <w:rFonts w:ascii="Times New Roman" w:eastAsia="SimHei"/>
          <w:b/>
          <w:bCs/>
          <w:color w:val="0B1220"/>
        </w:rPr>
        <w:t xml:space="preserve">七、附录：证据与文件索引</w:t>
      </w:r>
      <w:bookmarkEnd w:id="100012"/>
    </w:p>
    <w:p>
      <w:pPr>
        <w:pStyle w:val="ListParagraph"/>
        <w:numPr>
          <w:ilvl w:val="0"/>
          <w:numId w:val="1"/>
        </w:numPr>
        <w:spacing w:after="40" w:line="312"/>
      </w:pPr>
      <w:r>
        <w:rPr>
          <w:color w:val="182030"/>
          <w:sz w:val="22"/>
          <w:szCs w:val="22"/>
        </w:rPr>
        <w:t xml:space="preserve">主报告：FINAL_REPORT.md；评估：结题评估报告.md；调研：research/目录6份（GEO数据集/PDB结构/ChEMBL靶点/中药成分/冷门药材证据/管线格局）</w:t>
      </w:r>
    </w:p>
    <w:p>
      <w:pPr>
        <w:pStyle w:val="ListParagraph"/>
        <w:numPr>
          <w:ilvl w:val="0"/>
          <w:numId w:val="1"/>
        </w:numPr>
        <w:spacing w:after="40" w:line="312"/>
      </w:pPr>
      <w:r>
        <w:rPr>
          <w:color w:val="182030"/>
          <w:sz w:val="22"/>
          <w:szCs w:val="22"/>
        </w:rPr>
        <w:t xml:space="preserve">数据表：results/tables/ 共19个CSV（含known_fxr_ligand_recall.csv、obscure_herbs_predictions.csv、obscure_sensitivity_triterpenes.csv、obscure_docking.csv等）</w:t>
      </w:r>
    </w:p>
    <w:p>
      <w:pPr>
        <w:pStyle w:val="ListParagraph"/>
        <w:numPr>
          <w:ilvl w:val="0"/>
          <w:numId w:val="1"/>
        </w:numPr>
        <w:spacing w:after="40" w:line="312"/>
      </w:pPr>
      <w:r>
        <w:rPr>
          <w:color w:val="182030"/>
          <w:sz w:val="22"/>
          <w:szCs w:val="22"/>
        </w:rPr>
        <w:t xml:space="preserve">图：results/figures/ 6张；代码：src/step0—10共15个脚本；模型：models/bgnn_production.pt</w:t>
      </w:r>
    </w:p>
    <w:p>
      <w:pPr>
        <w:spacing w:after="0" w:line="312"/>
        <w:ind w:firstLine="420"/>
        <w:jc w:val="both"/>
      </w:pPr>
      <w:r>
        <w:rPr>
          <w:b w:val="false"/>
          <w:bCs w:val="false"/>
          <w:color w:val="182030"/>
          <w:sz w:val="22"/>
          <w:szCs w:val="22"/>
        </w:rPr>
        <w:t xml:space="preserve">（报告完）</w:t>
      </w:r>
    </w:p>
    <w:sectPr>
      <w:headerReference w:type="default" r:id="rId8"/>
      <w:footerReference w:type="default" r:id="rId9"/>
      <w:pgSz w:w="11906" w:h="16838" w:orient="portrait"/>
      <w:pgMar w:top="1440" w:right="1417" w:bottom="1440" w:left="1701" w:header="708" w:footer="708" w:gutter="0"/>
      <w:pgNumType w:start="1" w:fmt="decimal"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sz w:val="18"/>
        <w:szCs w:val="18"/>
      </w:rPr>
      <w:fldChar w:fldCharType="begin"/>
      <w:instrText xml:space="preserve">PAGE</w:instrText>
      <w:fldChar w:fldCharType="separate"/>
      <w:fldChar w:fldCharType="end"/>
    </w:r>
  </w:p>
</w:ftr>
</file>

<file path=word/footer2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sz w:val="18"/>
        <w:szCs w:val="18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jc w:val="center"/>
    </w:pPr>
    <w:r>
      <w:rPr>
        <w:color w:val="888888"/>
        <w:sz w:val="18"/>
        <w:szCs w:val="18"/>
      </w:rPr>
      <w:t xml:space="preserve">抗MASH天然药物筛选项目·暑假中间报告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updateFields w:val="tru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Times New Roman" w:eastAsia="Microsoft YaHei"/>
        <w:color w:val="182030"/>
        <w:sz w:val="22"/>
        <w:szCs w:val="22"/>
      </w:rPr>
    </w:rPrDefault>
    <w:pPrDefault>
      <w:pPr>
        <w:spacing w:line="312"/>
      </w:pPr>
    </w:pPrDefault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pPr>
      <w:outlineLvl w:val="0"/>
    </w:pPr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pPr>
      <w:outlineLvl w:val="1"/>
    </w:pPr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pPr>
      <w:outlineLvl w:val="2"/>
    </w:pPr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pPr>
      <w:outlineLvl w:val="3"/>
    </w:pPr>
    <w:name w:val="Heading 4"/>
    <w:basedOn w:val="Normal"/>
    <w:next w:val="Normal"/>
    <w:qFormat/>
    <w:rPr>
      <w:i/>
      <w:iCs/>
      <w:color w:val="2E74B5"/>
    </w:rPr>
  </w:style>
  <w:style w:type="paragraph" w:styleId="Heading5">
    <w:pPr>
      <w:outlineLvl w:val="4"/>
    </w:pPr>
    <w:name w:val="Heading 5"/>
    <w:basedOn w:val="Normal"/>
    <w:next w:val="Normal"/>
    <w:qFormat/>
    <w:rPr>
      <w:color w:val="2E74B5"/>
    </w:rPr>
  </w:style>
  <w:style w:type="paragraph" w:styleId="Heading6">
    <w:pPr>
      <w:outlineLvl w:val="5"/>
    </w:pPr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xmlns:w="http://schemas.openxmlformats.org/wordprocessingml/2006/main" w:type="paragraph" w:styleId="9">
    <w:name w:val="toc 1"/>
    <w:basedOn w:val="Normal"/>
    <w:uiPriority w:val="39"/>
    <w:pPr>
      <w:tabs>
        <w:tab w:val="right" w:leader="dot" w:pos="9026"/>
      </w:tabs>
      <w:spacing w:before="120" w:after="60"/>
    </w:pPr>
    <w:rPr>
      <w:b/>
      <w:bCs/>
    </w:rPr>
  </w:style>
  <w:style xmlns:w="http://schemas.openxmlformats.org/wordprocessingml/2006/main" w:type="paragraph" w:styleId="11">
    <w:name w:val="toc 2"/>
    <w:basedOn w:val="Normal"/>
    <w:uiPriority w:val="39"/>
    <w:pPr>
      <w:tabs>
        <w:tab w:val="right" w:leader="dot" w:pos="9026"/>
      </w:tabs>
      <w:ind w:left="360"/>
      <w:spacing w:before="60" w:after="40"/>
    </w:pPr>
  </w:style>
  <w:style xmlns:w="http://schemas.openxmlformats.org/wordprocessingml/2006/main" w:type="paragraph" w:styleId="12">
    <w:name w:val="toc 3"/>
    <w:basedOn w:val="Normal"/>
    <w:uiPriority w:val="39"/>
    <w:pPr>
      <w:tabs>
        <w:tab w:val="right" w:leader="dot" w:pos="9026"/>
      </w:tabs>
      <w:ind w:left="720"/>
      <w:spacing w:before="40" w:after="20"/>
    </w:p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oter" Target="footer1.xml"/><Relationship Id="rId8" Type="http://schemas.openxmlformats.org/officeDocument/2006/relationships/header" Target="header1.xml"/><Relationship Id="rId9" Type="http://schemas.openxmlformats.org/officeDocument/2006/relationships/footer" Target="footer2.xml"/><Relationship Id="rId10" Type="http://schemas.openxmlformats.org/officeDocument/2006/relationships/image" Target="media/5189681b31144a8eff26604e02144cc8ec81fe4c.png"/><Relationship Id="rId11" Type="http://schemas.openxmlformats.org/officeDocument/2006/relationships/image" Target="media/3e970438d35197c5237b4aa8df7cc746fb7777c9.png"/><Relationship Id="rId12" Type="http://schemas.openxmlformats.org/officeDocument/2006/relationships/image" Target="media/81f28e606fdaebc978373f9f365b39f2102bcc75.png"/><Relationship Id="rId13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er2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2026-08-17T15:39:00.460Z</dcterms:created>
  <dcterms:modified xsi:type="dcterms:W3CDTF">2026-08-17T15:39:00.461Z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