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00"/>
            </w:pPr>
          </w:p>
          <w:p>
            <w:pPr>
              <w:spacing w:after="400"/>
              <w:jc w:val="center"/>
            </w:pPr>
            <w:r>
              <w:rPr>
                <w:rFonts w:ascii="Times New Roman" w:eastAsia="SimSun"/>
                <w:spacing w:val="40"/>
                <w:sz w:val="44"/>
                <w:szCs w:val="44"/>
              </w:rPr>
              <w:t xml:space="preserve">沈阳药科大学</w:t>
            </w:r>
          </w:p>
          <w:p>
            <w:pPr>
              <w:spacing w:after="120"/>
              <w:jc w:val="center"/>
            </w:pPr>
            <w:r>
              <w:rPr>
                <w:rFonts w:ascii="Times New Roman" w:eastAsia="SimHei"/>
                <w:b/>
                <w:bCs/>
                <w:sz w:val="60"/>
                <w:szCs w:val="60"/>
              </w:rPr>
              <w:t xml:space="preserve">抗MASH候选药终版双榜</w:t>
            </w:r>
          </w:p>
          <w:p>
            <w:pPr>
              <w:spacing w:after="300"/>
              <w:jc w:val="center"/>
            </w:pPr>
            <w:r>
              <w:rPr>
                <w:rFonts w:ascii="Times New Roman" w:eastAsia="SimHei"/>
                <w:b/>
                <w:bCs/>
                <w:sz w:val="60"/>
                <w:szCs w:val="60"/>
              </w:rPr>
              <w:t xml:space="preserve">全域TOP5 · 中药TOP5</w:t>
            </w:r>
          </w:p>
          <w:p>
            <w:pPr>
              <w:spacing w:after="200"/>
              <w:jc w:val="center"/>
            </w:pPr>
            <w:r>
              <w:rPr>
                <w:rFonts w:ascii="Times New Roman" w:eastAsia="SimSun"/>
                <w:sz w:val="30"/>
                <w:szCs w:val="30"/>
              </w:rPr>
              <w:t xml:space="preserve">统一终评系数 · 运转逻辑 · 73.9万库实证</w:t>
            </w:r>
          </w:p>
          <w:p>
            <w:pPr>
              <w:spacing w:before="1400"/>
            </w:pPr>
          </w:p>
          <w:tbl>
            <w:tblPr>
              <w:tblW w:type="pct" w:w="62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基于贝叶斯图神经网络的抗MASH天然药物筛选（大创）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性质：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最终候选汇报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日期：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2026年8月</w:t>
                  </w:r>
                </w:p>
              </w:tc>
            </w:tr>
          </w:tbl>
          <w:p>
            <w:pPr>
              <w:spacing w:before="3400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4"/>
                <w:szCs w:val="24"/>
              </w:rPr>
              <w:t xml:space="preserve">2026年8月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一、运转逻辑（全链条）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73.9万天然分子库(COCONUT全库,物种可溯源) → 11靶点多靶点QSAR打分(ChEMBL 9,195化合物训练,检验Spearman 0.69-0.89) → ≥2靶活性配体识别+PAINS/ADMET/已知药剔除 → 中药专项池(79味药材,40,106成分)与全域池并行 → FXR/ACC双受体对接三角(重对接验证RMSD&lt;2Å结构) → 统一终评公式(系数见下) → 双TOP5。全程真实数据可复现。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二、终评公式与系数（显性）</w:t>
      </w:r>
    </w:p>
    <w:p>
      <w:pPr>
        <w:spacing w:after="60" w:line="312"/>
        <w:ind w:firstLine="420"/>
        <w:jc w:val="both"/>
      </w:pPr>
      <w:r>
        <w:rPr>
          <w:b/>
          <w:bCs/>
          <w:color w:val="182030"/>
          <w:sz w:val="22"/>
          <w:szCs w:val="22"/>
        </w:rPr>
        <w:t xml:space="preserve">FinalScore = 0.35×Act + 0.25×Dock + 0.20×Evidence + 0.10×Novelty + 0.10×Obtain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Act = min(MTS/45, 1)：多靶点活性分，MTS=Σ(11靶中pAct≥6.5的预测活性值)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Dock = min(mean(|dG_FXR|,|dG_ACC|)/10, 1)：结合构象分（阳性锚：GW4064=-9.7/ND-646=-10.5）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Evidence：1.0=来源有临床RCT；0.7=成分直接机制文献；0.5=药材传统肝效用+计算命中；0.3=纯计算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Novelty：1.0=零肝病报道；0.8=候选药材成分无肝病报道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Obtain：1.0=商品/药材可购；0.7=发酵可产；0.1=来源难再获取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三、TOP5 全域（不论来源）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表1  全域TOP5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#</w:t>
            </w:r>
          </w:p>
        </w:tc>
        <w:tc>
          <w:tcPr>
            <w:tcW w:type="pct" w:w="26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候选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MTS</w:t>
            </w:r>
          </w:p>
        </w:tc>
        <w:tc>
          <w:tcPr>
            <w:tcW w:type="pct" w:w="10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dG_FXR</w:t>
            </w:r>
          </w:p>
        </w:tc>
        <w:tc>
          <w:tcPr>
            <w:tcW w:type="pct" w:w="10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dG_ACC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Act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Dock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Evid</w:t>
            </w:r>
          </w:p>
        </w:tc>
        <w:tc>
          <w:tcPr>
            <w:tcW w:type="pct" w:w="9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Final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1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樟芝 Antrocinnamomin F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34.4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-8.01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-8.93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0.76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1.0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0.859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2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土曲霉 Aspernolide D族丁内酯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35.6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-8.63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-8.97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0.79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0.88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0.3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0.737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内生真菌 07H239-A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22.2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-8.06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-9.00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0.49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0.3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0.626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4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海绵 Alisiaquinol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22.2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-7.10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-9.85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0.49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0.3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0.625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5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海洋 Alternaramide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20.0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-6.51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-8.25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0.44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0.74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0.5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0.620</w:t>
            </w:r>
          </w:p>
        </w:tc>
      </w:tr>
    </w:tbl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樟芝以临床RCT证据(唯一Evidence=1.0)登顶；2-5名为纯计算/待复核证据的冷门新分子，分差主要来自证据项。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四、TOP5 中药（专项）</w:t>
      </w:r>
    </w:p>
    <w:p>
      <w:pPr>
        <w:keepNext/>
        <w:spacing w:after="70" w:before="110"/>
        <w:jc w:val="center"/>
      </w:pPr>
      <w:r>
        <w:rPr>
          <w:b/>
          <w:bCs/>
          <w:color w:val="506070"/>
          <w:sz w:val="20"/>
          <w:szCs w:val="20"/>
        </w:rPr>
        <w:t xml:space="preserve">表2  中药TOP5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#</w:t>
            </w:r>
          </w:p>
        </w:tc>
        <w:tc>
          <w:tcPr>
            <w:tcW w:type="pct" w:w="28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药材 | 成分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MTS</w:t>
            </w:r>
          </w:p>
        </w:tc>
        <w:tc>
          <w:tcPr>
            <w:tcW w:type="pct" w:w="10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dG_FXR</w:t>
            </w:r>
          </w:p>
        </w:tc>
        <w:tc>
          <w:tcPr>
            <w:tcW w:type="pct" w:w="10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dG_ACC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Act</w:t>
            </w:r>
          </w:p>
        </w:tc>
        <w:tc>
          <w:tcPr>
            <w:tcW w:type="pct" w:w="7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Dock</w:t>
            </w:r>
          </w:p>
        </w:tc>
        <w:tc>
          <w:tcPr>
            <w:tcW w:type="pct" w:w="9%"/>
            <w:shd w:fill="EDF2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/>
                <w:bCs/>
                <w:color w:val="0B1220"/>
                <w:sz w:val="17"/>
                <w:szCs w:val="17"/>
              </w:rPr>
              <w:t xml:space="preserve">Final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1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白花蛇舌草 | Anthraxin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35.0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-9.34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-9.87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0.78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0.96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0.792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2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苣荬菜 | 未名香豆素苷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35.4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-9.37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-9.35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0.79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0.94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0.789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甘草 | Derrone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34.7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-10.17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-8.72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0.77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0.94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0.786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4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地耳草/田基黄 | 田基黄苷类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35.4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-8.88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-8.45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0.79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0.87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0.772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5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黄芪 | 未名异黄酮苷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35.3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-7.27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-10.05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0.78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0.87</w:t>
            </w:r>
          </w:p>
        </w:tc>
        <w:tc>
          <w:tcPr>
            <w:tcW w:type="pct" w:w="9%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color w:val="182030"/>
                <w:sz w:val="17"/>
                <w:szCs w:val="17"/>
              </w:rPr>
              <w:t xml:space="preserve">0.771</w:t>
            </w:r>
          </w:p>
        </w:tc>
      </w:tr>
    </w:tbl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中药TOP5整体分值(0.77-0.79)紧逼全域第二名：中药池在对接构象分上反超(Dock 0.87-0.96)。白花蛇舌草Anthraxin与甘草Derrone(FXR -10.17为全场最强对接)为中药线主打；田基黄为“冷门肝病专科药+计算命中”最佳交集。未名成分结构已存于库，下一步按SMILES溯源定名。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五、推荐组合与验证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全中药组方A：白花蛇舌草Anthraxin(代谢轴) + 积雪草asiatic acid(纤维化轴, Evidence 0.7直接文献)。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组方B：田基黄苷 + 甘草Derrone(代谢双轴)。转化桥：任一组分+樟芝antcin K作阳性对照。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湿实验：HepG2脂变模型6×6矩阵，Bliss/Loewe/ZIP三法，hit=ZIP&gt;10且单药无效；报告基因(FXR/ACC通路)+TGFβ/Smad验证纤维化轴；AMLN小鼠12周。</w:t>
      </w:r>
    </w:p>
    <w:p>
      <w:pPr>
        <w:pStyle w:val="Heading1"/>
        <w:spacing w:after="150" w:before="340" w:line="312"/>
      </w:pPr>
      <w:r>
        <w:rPr>
          <w:rFonts w:ascii="Times New Roman" w:eastAsia="SimHei"/>
          <w:b/>
          <w:bCs/>
          <w:color w:val="0B1220"/>
        </w:rPr>
        <w:t xml:space="preserve">六、边界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color w:val="182030"/>
          <w:sz w:val="22"/>
          <w:szCs w:val="22"/>
        </w:rPr>
        <w:t xml:space="preserve">QSAR为外推排序器(非确定性预测)；未名成分需结构溯源定名+文献核查后入论文；Derrone已有抗癌方向文献需肝病新颖性复核；对接对甾体/大环失效项已剔除。</w:t>
      </w:r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82030"/>
          <w:sz w:val="22"/>
          <w:szCs w:val="22"/>
        </w:rPr>
        <w:t xml:space="preserve">数据表：results/v5/final_unified_scores.csv；中药池全表：results/v4/tcm_multitarget_top300.csv。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抗MASH候选药终版双榜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2026-08-18T08:20:06.999Z</dcterms:created>
  <dcterms:modified xsi:type="dcterms:W3CDTF">2026-08-18T08:20:07.001Z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