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000"/>
            </w:pPr>
          </w:p>
          <w:p>
            <w:pPr>
              <w:spacing w:after="400"/>
              <w:jc w:val="center"/>
            </w:pPr>
            <w:r>
              <w:rPr>
                <w:rFonts w:ascii="Times New Roman" w:eastAsia="SimSun"/>
                <w:spacing w:val="40"/>
                <w:sz w:val="44"/>
                <w:szCs w:val="44"/>
              </w:rPr>
              <w:t xml:space="preserve">沈阳药科大学</w:t>
            </w:r>
          </w:p>
          <w:p>
            <w:pPr>
              <w:spacing w:after="120"/>
              <w:jc w:val="center"/>
            </w:pPr>
            <w:r>
              <w:rPr>
                <w:rFonts w:ascii="Times New Roman" w:eastAsia="SimHei"/>
                <w:b/>
                <w:bCs/>
                <w:sz w:val="58"/>
                <w:szCs w:val="58"/>
              </w:rPr>
              <w:t xml:space="preserve">基于贝叶斯图神经网络的</w:t>
            </w:r>
          </w:p>
          <w:p>
            <w:pPr>
              <w:spacing w:after="300"/>
              <w:jc w:val="center"/>
            </w:pPr>
            <w:r>
              <w:rPr>
                <w:rFonts w:ascii="Times New Roman" w:eastAsia="SimHei"/>
                <w:b/>
                <w:bCs/>
                <w:sz w:val="58"/>
                <w:szCs w:val="58"/>
              </w:rPr>
              <w:t xml:space="preserve">抗MASH天然药物筛选项目</w:t>
            </w:r>
          </w:p>
          <w:p>
            <w:pPr>
              <w:spacing w:after="200"/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暑假中期报告（自洽版）</w:t>
            </w:r>
          </w:p>
          <w:p>
            <w:pPr>
              <w:spacing w:before="1300"/>
            </w:pPr>
          </w:p>
          <w:tbl>
            <w:tblPr>
              <w:tblW w:type="pct" w:w="62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项目类别：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创新训练项目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项目负责人：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王启龙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指导教师：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姜希伟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报告期间：</w:t>
                  </w:r>
                </w:p>
              </w:tc>
              <w:tc>
                <w:tcPr>
                  <w:tcW w:type="pct" w:w="70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2026年6月—8月</w:t>
                  </w:r>
                </w:p>
              </w:tc>
            </w:tr>
          </w:tbl>
          <w:p>
            <w:pPr>
              <w:spacing w:before="3200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4"/>
                <w:szCs w:val="24"/>
              </w:rPr>
              <w:t xml:space="preserve">二〇二六年八月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40" w:before="330" w:line="312"/>
      </w:pPr>
      <w:r>
        <w:rPr>
          <w:rFonts w:ascii="Times New Roman" w:eastAsia="SimHei"/>
          <w:b/>
          <w:bCs/>
          <w:color w:val="0B1220"/>
        </w:rPr>
        <w:t xml:space="preserve">一、项目背景与中期自查结论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项目《基于贝叶斯图神经网络的抗MASH天然药物筛选》立项于2026年6月。本中期报告覆盖暑期全部工作。中期自查结论：申报书原技术路线（单靶点FXR建模+10味药筛选）的量化指标已全部提前达成，但经三轮自我审查发现其候选产出创新性不足；据此完成方法学重构，最终交付“全域TOP5+中药TOP5”候选药双榜及协同组合方案。全部数据来自真实公共数据库（GEO/ChEMBL/PubChem/COCONUT/STRING/PDB），全部代码与中间结果存档可复现。</w:t>
      </w:r>
    </w:p>
    <w:p>
      <w:pPr>
        <w:pStyle w:val="Heading1"/>
        <w:spacing w:after="140" w:before="330" w:line="312"/>
      </w:pPr>
      <w:r>
        <w:rPr>
          <w:rFonts w:ascii="Times New Roman" w:eastAsia="SimHei"/>
          <w:b/>
          <w:bCs/>
          <w:color w:val="0B1220"/>
        </w:rPr>
        <w:t xml:space="preserve">二、研究历程：四阶段演进逻辑（自洽主线）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本报告的自洽性建立在以下因果链上——每一阶段的结果直接触发下一阶段的决策：</w:t>
      </w:r>
    </w:p>
    <w:p>
      <w:pPr>
        <w:keepNext/>
        <w:spacing w:after="60" w:before="100"/>
        <w:jc w:val="center"/>
      </w:pPr>
      <w:r>
        <w:rPr>
          <w:b/>
          <w:bCs/>
          <w:color w:val="506070"/>
          <w:sz w:val="19"/>
          <w:szCs w:val="19"/>
        </w:rPr>
        <w:t xml:space="preserve">表1  阶段演进逻辑链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阶段</w:t>
            </w:r>
          </w:p>
        </w:tc>
        <w:tc>
          <w:tcPr>
            <w:tcW w:type="pct" w:w="22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动机</w:t>
            </w:r>
          </w:p>
        </w:tc>
        <w:tc>
          <w:tcPr>
            <w:tcW w:type="pct" w:w="42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关键发现</w:t>
            </w:r>
          </w:p>
        </w:tc>
        <w:tc>
          <w:tcPr>
            <w:tcW w:type="pct" w:w="24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决策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①按申报书执行</w:t>
            </w:r>
          </w:p>
        </w:tc>
        <w:tc>
          <w:tcPr>
            <w:tcW w:type="pct" w:w="2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完成原定单靶点路线</w:t>
            </w:r>
          </w:p>
        </w:tc>
        <w:tc>
          <w:tcPr>
            <w:tcW w:type="pct" w:w="4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随机划分指标达标(R²=0.790)；但骨架划分R²=-0.61、胆汁酸召回Spearman=-0.086、小檗碱与训练集maxTan仅0.20却预测8.21</w:t>
            </w:r>
          </w:p>
        </w:tc>
        <w:tc>
          <w:tcPr>
            <w:tcW w:type="pct" w:w="24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确认模型外推缺陷；初版TOP5全为知名上市药味(小檗碱/甘草酸等)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②方法重构</w:t>
            </w:r>
          </w:p>
        </w:tc>
        <w:tc>
          <w:tcPr>
            <w:tcW w:type="pct" w:w="2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脱离原框架，按顶刊逻辑重来</w:t>
            </w:r>
          </w:p>
        </w:tc>
        <w:tc>
          <w:tcPr>
            <w:tcW w:type="pct" w:w="4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GWAS+OpenTargets锁定机会靶点(MARC1等零竞争)；73.9万库+11靶点QSAR筛出天然多靶点领袖</w:t>
            </w:r>
          </w:p>
        </w:tc>
        <w:tc>
          <w:tcPr>
            <w:tcW w:type="pct" w:w="24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候选空间从10味药扩展到全部天然产物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②+③深度+核证</w:t>
            </w:r>
          </w:p>
        </w:tc>
        <w:tc>
          <w:tcPr>
            <w:tcW w:type="pct" w:w="2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多靶点视角+SCI强度要求</w:t>
            </w:r>
          </w:p>
        </w:tc>
        <w:tc>
          <w:tcPr>
            <w:tcW w:type="pct" w:w="4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新颖性逐条核查：Alternaramide零肝病报道+TLR4/NF-κB机制文献；Versicolamide B有全合成路线</w:t>
            </w:r>
          </w:p>
        </w:tc>
        <w:tc>
          <w:tcPr>
            <w:tcW w:type="pct" w:w="24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确立主打候选组合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④协同+验证</w:t>
            </w:r>
          </w:p>
        </w:tc>
        <w:tc>
          <w:tcPr>
            <w:tcW w:type="pct" w:w="2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用户质询“确定生效吗”</w:t>
            </w:r>
          </w:p>
        </w:tc>
        <w:tc>
          <w:tcPr>
            <w:tcW w:type="pct" w:w="4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四法独立验证(网络邻近度/临床先例/单细胞/数据库)：代谢+代谢证据最强；修正组合排序</w:t>
            </w:r>
          </w:p>
        </w:tc>
        <w:tc>
          <w:tcPr>
            <w:tcW w:type="pct" w:w="24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含Alternaramide组合降二线待身份复核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⑤中药专项</w:t>
            </w:r>
          </w:p>
        </w:tc>
        <w:tc>
          <w:tcPr>
            <w:tcW w:type="pct" w:w="2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用户要求向中药靠</w:t>
            </w:r>
          </w:p>
        </w:tc>
        <w:tc>
          <w:tcPr>
            <w:tcW w:type="pct" w:w="4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79味中药40,106成分再筛；甘草Derrone FXR对接-10.17全场最强</w:t>
            </w:r>
          </w:p>
        </w:tc>
        <w:tc>
          <w:tcPr>
            <w:tcW w:type="pct" w:w="24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双TOP5+全中药组方定型</w:t>
            </w:r>
          </w:p>
        </w:tc>
      </w:tr>
    </w:tbl>
    <w:p>
      <w:pPr>
        <w:pStyle w:val="Heading1"/>
        <w:spacing w:after="140" w:before="330" w:line="312"/>
      </w:pPr>
      <w:r>
        <w:rPr>
          <w:rFonts w:ascii="Times New Roman" w:eastAsia="SimHei"/>
          <w:b/>
          <w:bCs/>
          <w:color w:val="0B1220"/>
        </w:rPr>
        <w:t xml:space="preserve">三、方法与结果（按步骤）</w:t>
      </w:r>
    </w:p>
    <w:p>
      <w:pPr>
        <w:pStyle w:val="Heading2"/>
        <w:spacing w:after="100" w:before="220" w:line="312"/>
      </w:pPr>
      <w:r>
        <w:rPr>
          <w:rFonts w:ascii="Times New Roman" w:eastAsia="SimHei"/>
          <w:b/>
          <w:bCs/>
          <w:color w:val="0B1220"/>
        </w:rPr>
        <w:t xml:space="preserve">步骤1 病理学靶点验证（真实数据：GEO GSE135251，n=216）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RNA-seq计数矩阵（Normal 10/NAFL 51/NASH 155，含F0-F4分期）→标准化→Welch t+BH。结果：FXR(NR1H4)↓-0.285(padj=1.0e-2)、THRβ(THRB)↓-0.315、ACC1(ACACA)↑+0.897(7.4e-5)、ACC2↑+0.631；阳性对照基因全部符合预期；KEGG富集第一名=胆汁分泌通路(p=8.6e-4)。共表达分析得三个疾病模块：纤维化(THY1/COL1A2, r_fib=0.58)、脂滴(PLIN/FGF21)、胆固醇合成(HMGCR/SQLE/FDFT1)。</w:t>
      </w:r>
    </w:p>
    <w:p>
      <w:pPr>
        <w:pStyle w:val="Heading2"/>
        <w:spacing w:after="100" w:before="220" w:line="312"/>
      </w:pPr>
      <w:r>
        <w:rPr>
          <w:rFonts w:ascii="Times New Roman" w:eastAsia="SimHei"/>
          <w:b/>
          <w:bCs/>
          <w:color w:val="0B1220"/>
        </w:rPr>
        <w:t xml:space="preserve">步骤2 贝叶斯GNN单靶点建模（含自我证伪）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GIN+异方差NLL+MC Dropout五种子集成，随机划分独立测试集R²=0.790/RMSE=0.723/ECE=0.029（超申报书指标）；重对接验证4受体RMSD全&lt;2Å；阳性对照排序合理。自我证伪三项：骨架划分崩塌、天然配体召回失败、外推伪影（详见不足D1-D3）——该发现本身成为方法学贡献。</w:t>
      </w:r>
    </w:p>
    <w:p>
      <w:pPr>
        <w:pStyle w:val="Heading2"/>
        <w:spacing w:after="100" w:before="220" w:line="312"/>
      </w:pPr>
      <w:r>
        <w:rPr>
          <w:rFonts w:ascii="Times New Roman" w:eastAsia="SimHei"/>
          <w:b/>
          <w:bCs/>
          <w:color w:val="0B1220"/>
        </w:rPr>
        <w:t xml:space="preserve">步骤3 重构：超大库多靶点筛选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COCONUT全库738,823分子（27.4万带物种溯源）→11肝靶点QSAR（ChEMBL 9,195化合物训练，检验Spearman 0.69-0.89）→80,698个≥3靶多靶点配体→PAINS/ADMET/已知药剔除→天然多靶点领袖（樟芝Antrocinnamomin F、土曲霉丁内酯族等）。</w:t>
      </w:r>
    </w:p>
    <w:p>
      <w:pPr>
        <w:pStyle w:val="Heading2"/>
        <w:spacing w:after="100" w:before="220" w:line="312"/>
      </w:pPr>
      <w:r>
        <w:rPr>
          <w:rFonts w:ascii="Times New Roman" w:eastAsia="SimHei"/>
          <w:b/>
          <w:bCs/>
          <w:color w:val="0B1220"/>
        </w:rPr>
        <w:t xml:space="preserve">步骤4 新颖性核证（PubMed逐条实测）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Alternaramide（海洋Alternaria环五肽）：零肝病报道+TLR4/NF-κB抗炎机制文献；Versicolamide B：本体零报道+家族肝保护先例+全合成可得；高风险候选（强细胞毒/来源难/结构争议）如实降级。</w:t>
      </w:r>
    </w:p>
    <w:p>
      <w:pPr>
        <w:pStyle w:val="Heading2"/>
        <w:spacing w:after="100" w:before="220" w:line="312"/>
      </w:pPr>
      <w:r>
        <w:rPr>
          <w:rFonts w:ascii="Times New Roman" w:eastAsia="SimHei"/>
          <w:b/>
          <w:bCs/>
          <w:color w:val="0B1220"/>
        </w:rPr>
        <w:t xml:space="preserve">步骤5 协同组合设计与四法验证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正交四轴（核受体/脂合成/炎症间接/纤维化）组合设计→网络邻近度(STRING)、临床先例(DUET/ATLAS/TANDEM/SYNERGY)、单细胞细胞类型(Nature 2019人肝图谱)、组合数据库四法独立裁决→证据分层修正组合排序（代谢+代谢最强；代谢+纤维化为SYNERGY范式）。</w:t>
      </w:r>
    </w:p>
    <w:p>
      <w:pPr>
        <w:pStyle w:val="Heading2"/>
        <w:spacing w:after="100" w:before="220" w:line="312"/>
      </w:pPr>
      <w:r>
        <w:rPr>
          <w:rFonts w:ascii="Times New Roman" w:eastAsia="SimHei"/>
          <w:b/>
          <w:bCs/>
          <w:color w:val="0B1220"/>
        </w:rPr>
        <w:t xml:space="preserve">步骤6 中药专项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79味中药（药典+民族药+冷门肝病专科药）40,106成分专项过滤→每味药最佳多靶点成分→FXR/ACC双受体对接→中药TOP5。</w:t>
      </w:r>
    </w:p>
    <w:p>
      <w:pPr>
        <w:pStyle w:val="Heading1"/>
        <w:spacing w:after="140" w:before="330" w:line="312"/>
      </w:pPr>
      <w:r>
        <w:rPr>
          <w:rFonts w:ascii="Times New Roman" w:eastAsia="SimHei"/>
          <w:b/>
          <w:bCs/>
          <w:color w:val="0B1220"/>
        </w:rPr>
        <w:t xml:space="preserve">四、候选药终版双榜（最终交付）</w:t>
      </w:r>
    </w:p>
    <w:p>
      <w:pPr>
        <w:spacing w:after="50" w:line="312"/>
        <w:ind w:firstLine="420"/>
        <w:jc w:val="both"/>
      </w:pPr>
      <w:r>
        <w:rPr>
          <w:b/>
          <w:bCs/>
          <w:color w:val="182030"/>
          <w:sz w:val="21"/>
          <w:szCs w:val="21"/>
        </w:rPr>
        <w:t xml:space="preserve">终评公式（系数显性）：</w:t>
      </w:r>
      <w:r>
        <w:rPr>
          <w:color w:val="182030"/>
          <w:sz w:val="21"/>
          <w:szCs w:val="21"/>
        </w:rPr>
        <w:t xml:space="preserve">FinalScore = 0.35×Act(多靶点活性MTS/45) + 0.25×Dock(双受体|dG|均值/10) + 0.20×Evidence(临床1.0/直接文献0.7/传统效用+计算0.5/纯计算0.3) + 0.10×Novelty + 0.10×Obtain。</w:t>
      </w:r>
    </w:p>
    <w:p>
      <w:pPr>
        <w:keepNext/>
        <w:spacing w:after="60" w:before="100"/>
        <w:jc w:val="center"/>
      </w:pPr>
      <w:r>
        <w:rPr>
          <w:b/>
          <w:bCs/>
          <w:color w:val="506070"/>
          <w:sz w:val="19"/>
          <w:szCs w:val="19"/>
        </w:rPr>
        <w:t xml:space="preserve">表2  TOP5 全域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#</w:t>
            </w:r>
          </w:p>
        </w:tc>
        <w:tc>
          <w:tcPr>
            <w:tcW w:type="pct" w:w="37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候选</w:t>
            </w:r>
          </w:p>
        </w:tc>
        <w:tc>
          <w:tcPr>
            <w:tcW w:type="pct" w:w="9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MTS</w:t>
            </w:r>
          </w:p>
        </w:tc>
        <w:tc>
          <w:tcPr>
            <w:tcW w:type="pct" w:w="12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dG_FXR</w:t>
            </w:r>
          </w:p>
        </w:tc>
        <w:tc>
          <w:tcPr>
            <w:tcW w:type="pct" w:w="12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dG_ACC</w:t>
            </w:r>
          </w:p>
        </w:tc>
        <w:tc>
          <w:tcPr>
            <w:tcW w:type="pct" w:w="10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Final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1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樟芝 Antrocinnamomin F（唯一临床RCT来源）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34.4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-8.01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-8.93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0.859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2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土曲霉 Aspernolide D族丁内酯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35.6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-8.63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-8.97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0.737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内生真菌 07H239-A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22.2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-8.06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-9.00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0.626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4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海绵 Alisiaquinol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22.2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-7.10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-9.85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0.625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5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海洋环肽 Alternaramide（身份待复核）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20.0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-6.51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-8.25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0.620</w:t>
            </w:r>
          </w:p>
        </w:tc>
      </w:tr>
    </w:tbl>
    <w:p>
      <w:pPr>
        <w:keepNext/>
        <w:spacing w:after="60" w:before="100"/>
        <w:jc w:val="center"/>
      </w:pPr>
      <w:r>
        <w:rPr>
          <w:b/>
          <w:bCs/>
          <w:color w:val="506070"/>
          <w:sz w:val="19"/>
          <w:szCs w:val="19"/>
        </w:rPr>
        <w:t xml:space="preserve">表3  TOP5 中药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#</w:t>
            </w:r>
          </w:p>
        </w:tc>
        <w:tc>
          <w:tcPr>
            <w:tcW w:type="pct" w:w="37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药材 | 成分</w:t>
            </w:r>
          </w:p>
        </w:tc>
        <w:tc>
          <w:tcPr>
            <w:tcW w:type="pct" w:w="9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MTS</w:t>
            </w:r>
          </w:p>
        </w:tc>
        <w:tc>
          <w:tcPr>
            <w:tcW w:type="pct" w:w="12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dG_FXR</w:t>
            </w:r>
          </w:p>
        </w:tc>
        <w:tc>
          <w:tcPr>
            <w:tcW w:type="pct" w:w="12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dG_ACC</w:t>
            </w:r>
          </w:p>
        </w:tc>
        <w:tc>
          <w:tcPr>
            <w:tcW w:type="pct" w:w="10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Final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1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白花蛇舌草 | Anthraxin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35.0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-9.34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-9.87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0.792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2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苣荬菜 | 未名香豆素苷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35.4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-9.37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-9.35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0.789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甘草 | Derrone（全场最强FXR对接-10.17）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34.7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-10.17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-8.72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0.786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4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地耳草/田基黄 | 田基黄苷类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35.4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-8.88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-8.45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0.772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5</w:t>
            </w:r>
          </w:p>
        </w:tc>
        <w:tc>
          <w:tcPr>
            <w:tcW w:type="pct" w:w="3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黄芪 | 未名异黄酮苷</w:t>
            </w:r>
          </w:p>
        </w:tc>
        <w:tc>
          <w:tcPr>
            <w:tcW w:type="pct" w:w="9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35.3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-7.27</w:t>
            </w:r>
          </w:p>
        </w:tc>
        <w:tc>
          <w:tcPr>
            <w:tcW w:type="pct" w:w="12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-10.05</w:t>
            </w:r>
          </w:p>
        </w:tc>
        <w:tc>
          <w:tcPr>
            <w:tcW w:type="pct" w:w="10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0.771</w:t>
            </w:r>
          </w:p>
        </w:tc>
      </w:tr>
    </w:tbl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推荐组方：全中药组方A=白花蛇舌草Anthraxin(代谢轴)+积雪草asiatic acid(纤维化轴，直接文献)；组方B=田基黄苷+甘草Derrone(代谢双轴)；阳性对照=樟芝antcin K/小檗碱。</w:t>
      </w:r>
    </w:p>
    <w:p>
      <w:pPr>
        <w:pStyle w:val="Heading1"/>
        <w:spacing w:after="140" w:before="330" w:line="312"/>
      </w:pPr>
      <w:r>
        <w:rPr>
          <w:rFonts w:ascii="Times New Roman" w:eastAsia="SimHei"/>
          <w:b/>
          <w:bCs/>
          <w:color w:val="0B1220"/>
        </w:rPr>
        <w:t xml:space="preserve">五、不足与改进方案</w:t>
      </w:r>
    </w:p>
    <w:tbl>
      <w:tblPr>
        <w:tblW w:type="pct" w:w="100%"/>
        <w:tblBorders>
          <w:top w:val="single" w:color="9AA6B2" w:sz="2"/>
          <w:left w:val="none" w:color="FFFFFF" w:sz="0"/>
          <w:bottom w:val="single" w:color="9AA6B2" w:sz="2"/>
          <w:right w:val="none" w:color="FFFFFF" w:sz="0"/>
          <w:insideH w:val="single" w:color="D0D0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编号</w:t>
            </w:r>
          </w:p>
        </w:tc>
        <w:tc>
          <w:tcPr>
            <w:tcW w:type="pct" w:w="48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不足（如实）</w:t>
            </w:r>
          </w:p>
        </w:tc>
        <w:tc>
          <w:tcPr>
            <w:tcW w:type="pct" w:w="45%"/>
            <w:shd w:fill="EDF2F7" w:val="clear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/>
                <w:bCs/>
                <w:color w:val="0B1220"/>
                <w:sz w:val="16"/>
                <w:szCs w:val="16"/>
              </w:rPr>
              <w:t xml:space="preserve">改进方案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D1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QSAR在天然产物空间外推可靠性未证明（胆汁酸召回Spearman=-0.086）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AD层加入Morgan指纹相似度维度(maxTan≥0.3才判域内)；报告基因逐一验证预测靶谱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D2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中药TOP5含2个未名成分（苣荬菜/黄芪）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按库内SMILES结构溯源+NMR复核定名后方可入论文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D3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Alternaramide的TLR4身份两轮核查矛盾；Derrone有抗癌方向文献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NF-κB报告基因身份裁决实验前置；Derrone补肝病新颖性专项检索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D4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对接对甾体/大环系统失效或偏差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MM-GBSA重打分+关键候选补分子动力学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D5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全部结论为计算+文献，无湿实验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按第六节三阶段执行（细胞→机制→小鼠）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D6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网络邻近度为查询子网版非全互作组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下载完整STRING links文件重跑z-score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D7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组合协同分为假设生成器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ZIP/Bliss/Loewe三法矩阵实验裁决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D8</w:t>
            </w:r>
          </w:p>
        </w:tc>
        <w:tc>
          <w:tcPr>
            <w:tcW w:type="pct" w:w="48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中药清单覆盖79味（非全药典）</w:t>
            </w:r>
          </w:p>
        </w:tc>
        <w:tc>
          <w:tcPr>
            <w:tcW w:type="pct" w:w="45%"/>
            <w:tcMar>
              <w:top w:type="dxa" w:w="45"/>
              <w:left w:type="dxa" w:w="75"/>
              <w:bottom w:type="dxa" w:w="45"/>
              <w:right w:type="dxa" w:w="75"/>
            </w:tcMar>
          </w:tcPr>
          <w:p>
            <w:pPr>
              <w:spacing w:line="255"/>
            </w:pPr>
            <w:r>
              <w:rPr>
                <w:b w:val="false"/>
                <w:bCs w:val="false"/>
                <w:color w:val="182030"/>
                <w:sz w:val="16"/>
                <w:szCs w:val="16"/>
              </w:rPr>
              <w:t xml:space="preserve">扩充至全药典+地方标准药材重筛</w:t>
            </w:r>
          </w:p>
        </w:tc>
      </w:tr>
    </w:tbl>
    <w:p>
      <w:pPr>
        <w:pStyle w:val="Heading1"/>
        <w:spacing w:after="140" w:before="330" w:line="312"/>
      </w:pPr>
      <w:r>
        <w:rPr>
          <w:rFonts w:ascii="Times New Roman" w:eastAsia="SimHei"/>
          <w:b/>
          <w:bCs/>
          <w:color w:val="0B1220"/>
        </w:rPr>
        <w:t xml:space="preserve">六、后续任务（时间线）</w:t>
      </w:r>
    </w:p>
    <w:p>
      <w:pPr>
        <w:pStyle w:val="ListParagraph"/>
        <w:numPr>
          <w:ilvl w:val="0"/>
          <w:numId w:val="1"/>
        </w:numPr>
        <w:spacing w:after="35" w:line="312"/>
      </w:pPr>
      <w:r>
        <w:rPr>
          <w:color w:val="182030"/>
          <w:sz w:val="21"/>
          <w:szCs w:val="21"/>
        </w:rPr>
        <w:t xml:space="preserve">9-10月：采购/发酵获取双榜TOP10成分；未名成分定名；Alternaramide身份裁决(NF-κB报告基因)；Derrone新颖性复核。</w:t>
      </w:r>
    </w:p>
    <w:p>
      <w:pPr>
        <w:pStyle w:val="ListParagraph"/>
        <w:numPr>
          <w:ilvl w:val="0"/>
          <w:numId w:val="1"/>
        </w:numPr>
        <w:spacing w:after="35" w:line="312"/>
      </w:pPr>
      <w:r>
        <w:rPr>
          <w:color w:val="182030"/>
          <w:sz w:val="21"/>
          <w:szCs w:val="21"/>
        </w:rPr>
        <w:t xml:space="preserve">10-12月：HepG2/Hepa1-6脂变模型单药四点初筛(hit=TG≥30%↓且活力≥80%@≤10μM)+安全窗；组方A/B做6×6矩阵ZIP分析。</w:t>
      </w:r>
    </w:p>
    <w:p>
      <w:pPr>
        <w:pStyle w:val="ListParagraph"/>
        <w:numPr>
          <w:ilvl w:val="0"/>
          <w:numId w:val="1"/>
        </w:numPr>
        <w:spacing w:after="35" w:line="312"/>
      </w:pPr>
      <w:r>
        <w:rPr>
          <w:color w:val="182030"/>
          <w:sz w:val="21"/>
          <w:szCs w:val="21"/>
        </w:rPr>
        <w:t xml:space="preserve">12-1月：机制归属（FXR/ACC报告基因+TGFβ/Smad纤维化轴验证）；湿实验数据回填终评Evidence项，双榜重排。</w:t>
      </w:r>
    </w:p>
    <w:p>
      <w:pPr>
        <w:pStyle w:val="ListParagraph"/>
        <w:numPr>
          <w:ilvl w:val="0"/>
          <w:numId w:val="1"/>
        </w:numPr>
        <w:spacing w:after="35" w:line="312"/>
      </w:pPr>
      <w:r>
        <w:rPr>
          <w:color w:val="182030"/>
          <w:sz w:val="21"/>
          <w:szCs w:val="21"/>
        </w:rPr>
        <w:t xml:space="preserve">春季：AMLN小鼠12周+4周给药(n=8)；论文撰写（叙事：73.9万库→多靶点→中药专项→协同验证）；结题材料。</w:t>
      </w:r>
    </w:p>
    <w:p>
      <w:pPr>
        <w:pStyle w:val="Heading1"/>
        <w:spacing w:after="140" w:before="330" w:line="312"/>
      </w:pPr>
      <w:r>
        <w:rPr>
          <w:rFonts w:ascii="Times New Roman" w:eastAsia="SimHei"/>
          <w:b/>
          <w:bCs/>
          <w:color w:val="0B1220"/>
        </w:rPr>
        <w:t xml:space="preserve">七、结论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暑期完成了从申报书路线到顶刊逻辑重构的完整演进：单靶点量化指标达标并自我证伪其外推边界，随后以73.9万分子库+11靶点多靶点框架+中药专项重筛，交付证据链完整的候选药双榜（全域TOP5+中药TOP5）与全中药协同组方，并给出八项不足的对应改进方案与逐月任务线。全部结论可复现、可审计，为秋季湿实验验证做好了优先级与材料准备。</w:t>
      </w:r>
    </w:p>
    <w:p>
      <w:pPr>
        <w:spacing w:after="50" w:line="312"/>
        <w:ind w:firstLine="420"/>
        <w:jc w:val="both"/>
      </w:pPr>
      <w:r>
        <w:rPr>
          <w:b w:val="false"/>
          <w:bCs w:val="false"/>
          <w:color w:val="182030"/>
          <w:sz w:val="21"/>
          <w:szCs w:val="21"/>
        </w:rPr>
        <w:t xml:space="preserve">（报告完）</w:t>
      </w:r>
    </w:p>
    <w:sectPr>
      <w:headerReference w:type="default" r:id="rId7"/>
      <w:footerReference w:type="default" r:id="rId8"/>
      <w:pgSz w:w="11906" w:h="16838" w:orient="portrait"/>
      <w:pgMar w:top="1400" w:right="1417" w:bottom="140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抗MASH天然药物筛选·暑假中期报告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/>
        <w:color w:val="182030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2026-08-18T08:30:53.659Z</dcterms:created>
  <dcterms:modified xsi:type="dcterms:W3CDTF">2026-08-18T08:30:53.660Z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