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Information</w:t>
      </w:r>
    </w:p>
    <w:p>
      <w:pPr>
        <w:jc w:val="center"/>
      </w:pPr>
      <w:r>
        <w:rPr>
          <w:i/>
        </w:rPr>
        <w:t>scDesignGuard: source-bound design gating for multisample single-cell differential analysis</w:t>
      </w:r>
    </w:p>
    <w:p>
      <w:pPr>
        <w:pStyle w:val="Heading1"/>
      </w:pPr>
      <w:r>
        <w:t>Supplementary Methods 1 | Framework, states, stage transitions and reason priority</w:t>
      </w:r>
    </w:p>
    <w:p>
      <w:r>
        <w:t>Contracts bind source, donor, condition, target, support and estimand evidence. Gates are sequential. Terminal-state precedence is BLOCK, NON_EVALUABLE, ABSTAIN and PROCEED; activated reasons within a state are ordered lexicographically by frozen reason code. Unperformed checks remain NOT_ASSESSED or NOT_APPLICABLE.</w:t>
      </w:r>
    </w:p>
    <w:p>
      <w:pPr>
        <w:pStyle w:val="Heading1"/>
      </w:pPr>
      <w:r>
        <w:t>Supplementary Methods 2 | Evidence tiers and authorization thresholds</w:t>
      </w:r>
    </w:p>
    <w:p>
      <w:r>
        <w:t>Tier A, Tier B, Tier C and Tier D delimit confirmatory authorization, supportive use, structural use and controlled invalidity. Donor and target-cell cut-offs are conservative project rules, not universal sample-size recommendations.</w:t>
      </w:r>
    </w:p>
    <w:p>
      <w:pPr>
        <w:pStyle w:val="Heading1"/>
      </w:pPr>
      <w:r>
        <w:t>Supplementary Methods 3 | Final 15-family overlap-excluded benchmark</w:t>
      </w:r>
    </w:p>
    <w:p>
      <w:r>
        <w:t>Family identity was screened before endpoint estimation. Frozen source-bound human consensus labels and evaluator states are listed in Supplementary Table 1. Selection did not use evaluator state, downstream accessibility, biological-effect estimates or result appearance.</w:t>
      </w:r>
    </w:p>
    <w:p>
      <w:pPr>
        <w:pStyle w:val="Heading1"/>
      </w:pPr>
      <w:r>
        <w:t>Supplementary Methods 4 | Four-case end-to-end evaluation</w:t>
      </w:r>
    </w:p>
    <w:p>
      <w:r>
        <w:t>The four cases were processed in frozen order through source scope, structural design, target support, count aggregation, model validity and final authorization. Independent implementations reconciled counts and design-matrix quantities. No differential effect was estimated.</w:t>
      </w:r>
    </w:p>
    <w:p>
      <w:pPr>
        <w:pStyle w:val="Heading1"/>
      </w:pPr>
      <w:r>
        <w:t>Supplementary Methods 5 | Controlled invalidities</w:t>
      </w:r>
    </w:p>
    <w:p>
      <w:r>
        <w:t>Each challenge changed one design property and retained the remaining contract. Expected state and primary reason were fixed before evaluation.</w:t>
      </w:r>
    </w:p>
    <w:p>
      <w:pPr>
        <w:pStyle w:val="Heading1"/>
      </w:pPr>
      <w:r>
        <w:t>Supplementary Methods 6 | Repository transport and software reproducibility</w:t>
      </w:r>
    </w:p>
    <w:p>
      <w:r>
        <w:t>Transport audits used official identity and metadata endpoints without expression or outcomes. Software identity was bound to wheel, OCI image, schema, reason registry, SBOM, environment and test receipts.</w:t>
      </w:r>
    </w:p>
    <w:p>
      <w:pPr>
        <w:pStyle w:val="Heading1"/>
      </w:pPr>
      <w:r>
        <w:t>Supplementary Methods 7 | Beta-cell application and sensitivity analyses</w:t>
      </w:r>
    </w:p>
    <w:p>
      <w:r>
        <w:t>Author C0–C7 labels were retained. Donor-cluster pseudobulks supported composition, edgeR and limma-voom sensitivity analyses. Hallmark and Reactome CAMERA tests retained the full eligible multiple-testing universe; display subsets followed the frozen minimum-global-FDR ranking rule described in Methods.</w:t>
      </w:r>
    </w:p>
    <w:p>
      <w:pPr>
        <w:pStyle w:val="Heading1"/>
      </w:pPr>
      <w:r>
        <w:t>Supplementary Table 1 | Final 15-family membership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record_id</w:t>
            </w:r>
          </w:p>
        </w:tc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repository</w:t>
            </w:r>
          </w:p>
        </w:tc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exact_source_version</w:t>
            </w:r>
          </w:p>
        </w:tc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frozen_human_reference_class</w:t>
            </w:r>
          </w:p>
        </w:tc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scdesignguard_primary_reason</w:t>
            </w:r>
          </w:p>
        </w:tc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scdesignguard_state</w:t>
            </w:r>
          </w:p>
        </w:tc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state_concordance_to_frozen_reference</w:t>
            </w:r>
          </w:p>
        </w:tc>
        <w:tc>
          <w:tcPr>
            <w:tcW w:type="dxa" w:w="1249"/>
            <w:shd w:fill="D9EAF7"/>
            <w:vAlign w:val="center"/>
          </w:tcPr>
          <w:p>
            <w:r>
              <w:rPr>
                <w:b/>
                <w:sz w:val="14"/>
              </w:rPr>
              <w:t>endpoint_membership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DN12-GEO-01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GSE115978; source SHA-256=3735a895e33b6d4b13321e358d5bc0dbdec5eb61d9b6184a0343874a49791395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OUTPUT.SAFE_TO_TARGET_SUPPORT_GATE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PROCEED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VALID_CLEARANCE;EXACT_STATE_CONCORDANCE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DN12-GEO-03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GSE98638; source SHA-256=cca3a3e33fb5a9017609acac41d73b0e2620397f56130fe5e74af29b0e9fc698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OUTPUT.SAFE_TO_TARGET_SUPPORT_GATE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PROCEED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VALID_CLEARANCE;EXACT_STATE_CONCORDANCE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DN12-GEO-04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GSE99254; source SHA-256=44ee6242f6e1f3b90215d4c69d7cddae76b52264e73a4f2325d8005d600d17eb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OUTPUT.SAFE_TO_TARGET_SUPPORT_GATE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PROCEED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VALID_CLEARANCE;EXACT_STATE_CONCORDANCE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DN12-GEO-05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GSE81730; source SHA-256=6c8d1f937f495f5cd1ae95667e3c6307964bef65a12b55a1bfe23199ca960186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STRUCTURALLY_UNRESOLVED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SUPPORT.INDEPENDENT_UNITS.BELOW_FROZEN_THRESHOLD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UNRESOLVED_CONTAINMENT;EXACT_STATE_CONCORDANCE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DN12-GEO-06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GSE72056; source SHA-256=a358716a7a6b88b8c3074fe628f5e23836e0f11b2a323668d284118d0302f280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STRUCTURALLY_UNRESOLVED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ESTIMAND.UNRESOLVED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UNRESOLVED_CONTAINMENT;EXACT_STATE_CONCORDANCE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DN12-GEO-07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GSE57872; source SHA-256=35157d95b27a56c7b5e8d4bc33ee3e9bc4a34dc4466c71ace6cfc8ff90332f81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STRUCTURALLY_UNRESOLVED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SOURCE_SCOPE.MIXED_OBJECTS_AND_ESTIMAND_UNRESOLVED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UNRESOLVED_CONTAINMENT;EXACT_STATE_CONCORDANCE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DN12-GEO-08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GSE85241; source SHA-256=b7f6c310a48d5f69b730da1fda750100d08546e1ed5a99faec85a8bd66b0a6cc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STRUCTURALLY_UNRESOLVED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SUPPORT.INDEPENDENT_UNITS.BELOW_FROZEN_THRESHOLD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UNRESOLVED_CONTAINMENT;EXACT_STATE_CONCORDANCE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DN12-GEO-09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GSE78711; source SHA-256=4757b3f5eb21c62c30ed4ef4d71db525419b3791268dcf853b90e786f0a1880d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SOURCE_SCOPE.NOT_SINGLE_CELL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HARD_INVALID_DETECTION;UNSAFE_CONTINUATION;EXACT_STATE_CONCORDANCE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DN12-GEO-10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GSE79136; source SHA-256=31686ddaca23d1fa5d8c6eb153d0d317b7564724405a6a8212b9217bcd171de5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DESIGN.NO_DONOR_LEVEL_BIOLOGICAL_ESTIMAND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HARD_INVALID_DETECTION;UNSAFE_CONTINUATION;EXACT_STATE_CONCORDANCE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DN12-GEO-11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GSE85575; source SHA-256=af7440179e7271dda4d6b12a4555c9352f8a7abc270a71bc743e9a8ebce1c88b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DESIGN.CELL_LINE_TECHNICAL_BENCHMARK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HARD_INVALID_DETECTION;UNSAFE_CONTINUATION;EXACT_STATE_CONCORDANCE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DN12-GEO-12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GEO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GSE75748; source SHA-256=6de92677aa582fbfcf955d65ea2abe958a4f13f27848aec5fe63a712f4b2aab6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DESIGN.NO_INDEPENDENT_HUMAN_DONOR_REPLICATION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HARD_INVALID_DETECTION;UNSAFE_CONTINUATION;EXACT_STATE_CONCORDANCE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DN12-AE-01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BioStudies/ArrayExpress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E-MTAB-5905; source SHA-256=4715181fcfc871b8467c98578f8715e9f8e3a5ba517f1a1d3bb284eaba728849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OUTPUT.SAFE_TO_TARGET_SUPPORT_GATE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PROCEED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VALID_CLEARANCE;EXACT_STATE_CONCORDANCE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DN12-AE-02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BioStudies/ArrayExpress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E-MTAB-6653; source SHA-256=535b6962712fb4ec0c9d0e5286816796e08bc6d9128e1e32196b2492cf5e6a86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STRUCTURALLY_UNRESOLVED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SUPPORT.INDEPENDENT_UNITS.BELOW_FROZEN_THRESHOLD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UNRESOLVED_CONTAINMENT;EXACT_STATE_CONCORDANCE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DN12-AE-03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BioStudies/ArrayExpress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E-MTAB-10296; source SHA-256=5907e283cf857b3e0c82b671fcefd8bb97d4507dda77ca6b7eda6186fc845d05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DESIGN.CELL_LINE_METHOD_DEMONSTRATION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HARD_INVALID_DETECTION;UNSAFE_CONTINUATION;EXACT_STATE_CONCORDANCE</w:t>
            </w:r>
          </w:p>
        </w:tc>
      </w:tr>
      <w:tr>
        <w:tc>
          <w:tcPr>
            <w:tcW w:type="dxa" w:w="1249"/>
            <w:vAlign w:val="center"/>
          </w:tcPr>
          <w:p>
            <w:r>
              <w:rPr>
                <w:sz w:val="13"/>
              </w:rPr>
              <w:t>DN12-AE-04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BioStudies/ArrayExpress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E-MTAB-5480; source SHA-256=12fe980c61b63fd33420933634c1149e87c2e2691cbb8fe658243a920a6dabf0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HARD_INVALID_DESIGN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DESIGN.TECHNICAL_METHOD_COMPARISON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249"/>
            <w:vAlign w:val="center"/>
          </w:tcPr>
          <w:p>
            <w:r>
              <w:rPr>
                <w:sz w:val="13"/>
              </w:rPr>
              <w:t>HARD_INVALID_DETECTION;UNSAFE_CONTINUATION;EXACT_STATE_CONCORDANCE</w:t>
            </w:r>
          </w:p>
        </w:tc>
      </w:tr>
    </w:tbl>
    <w:p/>
    <w:p>
      <w:pPr>
        <w:pStyle w:val="Heading1"/>
        <w:pageBreakBefore/>
      </w:pPr>
      <w:r>
        <w:t>Supplementary Table 2 | Final four-case end-to-end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69"/>
        <w:gridCol w:w="769"/>
        <w:gridCol w:w="769"/>
        <w:gridCol w:w="769"/>
        <w:gridCol w:w="769"/>
        <w:gridCol w:w="769"/>
        <w:gridCol w:w="769"/>
        <w:gridCol w:w="769"/>
        <w:gridCol w:w="769"/>
        <w:gridCol w:w="769"/>
        <w:gridCol w:w="769"/>
        <w:gridCol w:w="769"/>
        <w:gridCol w:w="769"/>
      </w:tblGrid>
      <w:tr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display_id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accession_or_collection_id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request_started_utc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contrast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target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donor_count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pair_count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target_cell_count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pseudobulk_rows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design_rank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estimability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residual_df</w:t>
            </w:r>
          </w:p>
        </w:tc>
        <w:tc>
          <w:tcPr>
            <w:tcW w:type="dxa" w:w="769"/>
            <w:shd w:fill="D9EAF7"/>
            <w:vAlign w:val="center"/>
          </w:tcPr>
          <w:p>
            <w:r>
              <w:rPr>
                <w:b/>
                <w:sz w:val="14"/>
              </w:rPr>
              <w:t>terminal_result</w:t>
            </w:r>
          </w:p>
        </w:tc>
      </w:tr>
      <w:tr>
        <w:tc>
          <w:tcPr>
            <w:tcW w:type="dxa" w:w="769"/>
            <w:vAlign w:val="center"/>
          </w:tcPr>
          <w:p>
            <w:r>
              <w:rPr>
                <w:sz w:val="13"/>
              </w:rPr>
              <w:t>GSE144735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GSE144735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2026-08-09T08:45:24Z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paired condition contrast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epithelial cells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3356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7/7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PASS_FINAL_AUTHORIZATION_GATE_NO_DE_OR_EFFECT_EXECUTED</w:t>
            </w:r>
          </w:p>
        </w:tc>
      </w:tr>
      <w:tr>
        <w:tc>
          <w:tcPr>
            <w:tcW w:type="dxa" w:w="769"/>
            <w:vAlign w:val="center"/>
          </w:tcPr>
          <w:p>
            <w:r>
              <w:rPr>
                <w:sz w:val="13"/>
              </w:rPr>
              <w:t>GSE123813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GSE123813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2026-08-09T08:45:25Z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paired condition contrast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T cells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33106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12/12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PASS_FINAL_AUTHORIZATION_GATE_NO_DE_OR_EFFECT_EXECUTED</w:t>
            </w:r>
          </w:p>
        </w:tc>
      </w:tr>
      <w:tr>
        <w:tc>
          <w:tcPr>
            <w:tcW w:type="dxa" w:w="769"/>
            <w:vAlign w:val="center"/>
          </w:tcPr>
          <w:p>
            <w:r>
              <w:rPr>
                <w:sz w:val="13"/>
              </w:rPr>
              <w:t>HCA-E2E-03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135f7f5c-4a85-4bcf-9f7c-4f035ff1e428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2026-08-09T08:45:31Z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source-defined comparison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NOT_ASSESSED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NOT_ASSESSED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NOT_ASSESSED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NOT_ASSESSED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EARLY_STOP_STRUCTURAL_DESIGN_SOURCE_CONTRACT_INCOMPLETE</w:t>
            </w:r>
          </w:p>
        </w:tc>
      </w:tr>
      <w:tr>
        <w:tc>
          <w:tcPr>
            <w:tcW w:type="dxa" w:w="769"/>
            <w:vAlign w:val="center"/>
          </w:tcPr>
          <w:p>
            <w:r>
              <w:rPr>
                <w:sz w:val="13"/>
              </w:rPr>
              <w:t>GSE81076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GSE81076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2026-08-09T08:45:35Z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independent groups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source-defined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0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NOT_ASSESSED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769"/>
            <w:vAlign w:val="center"/>
          </w:tcPr>
          <w:p>
            <w:r>
              <w:rPr>
                <w:sz w:val="13"/>
              </w:rPr>
              <w:t>EARLY_STOP_STRUCTURAL_DESIGN_BELOW_FROZEN_GROUP_THRESHOLD</w:t>
            </w:r>
          </w:p>
        </w:tc>
      </w:tr>
    </w:tbl>
    <w:p/>
    <w:p>
      <w:pPr>
        <w:pStyle w:val="Heading1"/>
      </w:pPr>
      <w:r>
        <w:t>Supplementary Table 3 | Frozen state and reason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c>
          <w:tcPr>
            <w:tcW w:type="dxa" w:w="1666"/>
            <w:shd w:fill="D9EAF7"/>
            <w:vAlign w:val="center"/>
          </w:tcPr>
          <w:p>
            <w:r>
              <w:rPr>
                <w:b/>
                <w:sz w:val="14"/>
              </w:rPr>
              <w:t>state_precedence</w:t>
            </w:r>
          </w:p>
        </w:tc>
        <w:tc>
          <w:tcPr>
            <w:tcW w:type="dxa" w:w="1666"/>
            <w:shd w:fill="D9EAF7"/>
            <w:vAlign w:val="center"/>
          </w:tcPr>
          <w:p>
            <w:r>
              <w:rPr>
                <w:b/>
                <w:sz w:val="14"/>
              </w:rPr>
              <w:t>within_state_priority</w:t>
            </w:r>
          </w:p>
        </w:tc>
        <w:tc>
          <w:tcPr>
            <w:tcW w:type="dxa" w:w="1666"/>
            <w:shd w:fill="D9EAF7"/>
            <w:vAlign w:val="center"/>
          </w:tcPr>
          <w:p>
            <w:r>
              <w:rPr>
                <w:b/>
                <w:sz w:val="14"/>
              </w:rPr>
              <w:t>reason_code</w:t>
            </w:r>
          </w:p>
        </w:tc>
        <w:tc>
          <w:tcPr>
            <w:tcW w:type="dxa" w:w="1666"/>
            <w:shd w:fill="D9EAF7"/>
            <w:vAlign w:val="center"/>
          </w:tcPr>
          <w:p>
            <w:r>
              <w:rPr>
                <w:b/>
                <w:sz w:val="14"/>
              </w:rPr>
              <w:t>terminal_state</w:t>
            </w:r>
          </w:p>
        </w:tc>
        <w:tc>
          <w:tcPr>
            <w:tcW w:type="dxa" w:w="1666"/>
            <w:shd w:fill="D9EAF7"/>
            <w:vAlign w:val="center"/>
          </w:tcPr>
          <w:p>
            <w:r>
              <w:rPr>
                <w:b/>
                <w:sz w:val="14"/>
              </w:rPr>
              <w:t>definition</w:t>
            </w:r>
          </w:p>
        </w:tc>
        <w:tc>
          <w:tcPr>
            <w:tcW w:type="dxa" w:w="1666"/>
            <w:shd w:fill="D9EAF7"/>
            <w:vAlign w:val="center"/>
          </w:tcPr>
          <w:p>
            <w:r>
              <w:rPr>
                <w:b/>
                <w:sz w:val="14"/>
              </w:rPr>
              <w:t>primary_reason_rule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COUNT.SOURCE.INVALID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The frozen count representation is contract-invalid.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DESIGN.CONDITION.CONFLICT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 donor maps to conflicting frozen conditions.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DESIGN.CONFOUNDING.COMPLETE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The estimand is inseparable from complete technical confounding.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DESIGN.DONOR.INVALID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Donor is not the inference unit or repeated samples are treated as donors.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GOV.CLAIM.UNMAPPED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 proposed release claim is not mapped to a passed endpoint and Gate.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GOV.IDENTITY.UNBOUND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Immutable identity/version/hash is not exactly bound.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GOV.LICENSE.UNRESOLVED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Use rights or redistribution terms are unresolved.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GOV.ROLE.LEAKAGE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Outcome access or role assignment occurred before freeze.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EVIDENCE.ESTIMABILITY.INSUFFICIENT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The frozen contrast or endpoint is not estimable.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EVIDENCE.INDEPENDENCE.INSUFFICIENT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Required independent evidence is unavailable or overlaps.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EVIDENCE.MODEL.NONESTIMABLE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The frozen statistical model cannot be estimated without amendment.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EVIDENCE.REFERENCE.MISSING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 required reference measurement is absent.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EVIDENCE.TARGET_SUPPORT.INSUFFICIENT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Prespecified donor-target support is insufficient.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15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ROBUSTNESS.ANNOTATION.SENSITIVE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ABSTAIN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Conclusion is sensitive to prespecified annotation perturbation.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16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ROBUSTNESS.CONFOUNDING.SENSITIVE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ABSTAIN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Conclusion is sensitive to partial confounding adjustment.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ROBUSTNESS.DIRECTION.UNSTABLE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ABSTAIN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Direction is unstable under the frozen robustness profile.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18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ROBUSTNESS.FILTERING.FRAGILE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ABSTAIN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Eligibility/filtering is unstable under prespecified perturbation.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ROBUSTNESS.LODO.FRAGILE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ABSTAIN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Prespecified leave-one-donor-out robustness fails.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20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UNCERTAINTY.CLUSTERING.UNRESOLVED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ABSTAIN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Study/donor clustered uncertainty cannot be resolved.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21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UNCERTAINTY.COVERAGE.BELOW_THRESHOLD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ABSTAIN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Prespecified uncertainty coverage rule fails.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  <w:tr>
        <w:tc>
          <w:tcPr>
            <w:tcW w:type="dxa" w:w="1666"/>
            <w:vAlign w:val="center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OUTPUT.SAFE_TO_PROCEED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PROCEED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All higher-precedence reasons are absent.</w:t>
            </w:r>
          </w:p>
        </w:tc>
        <w:tc>
          <w:tcPr>
            <w:tcW w:type="dxa" w:w="1666"/>
            <w:vAlign w:val="center"/>
          </w:tcPr>
          <w:p>
            <w:r>
              <w:rPr>
                <w:sz w:val="13"/>
              </w:rPr>
              <w:t>state precedence, then lexicographic reason code</w:t>
            </w:r>
          </w:p>
        </w:tc>
      </w:tr>
    </w:tbl>
    <w:p/>
    <w:p>
      <w:pPr>
        <w:pStyle w:val="Heading1"/>
      </w:pPr>
      <w:r>
        <w:t>Supplementary Table 4 | Controlled invalidities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c>
          <w:tcPr>
            <w:tcW w:type="dxa" w:w="1428"/>
            <w:shd w:fill="D9EAF7"/>
            <w:vAlign w:val="center"/>
          </w:tcPr>
          <w:p>
            <w:r>
              <w:rPr>
                <w:b/>
                <w:sz w:val="14"/>
              </w:rPr>
              <w:t>challenge_id</w:t>
            </w:r>
          </w:p>
        </w:tc>
        <w:tc>
          <w:tcPr>
            <w:tcW w:type="dxa" w:w="1428"/>
            <w:shd w:fill="D9EAF7"/>
            <w:vAlign w:val="center"/>
          </w:tcPr>
          <w:p>
            <w:r>
              <w:rPr>
                <w:b/>
                <w:sz w:val="14"/>
              </w:rPr>
              <w:t>challenge</w:t>
            </w:r>
          </w:p>
        </w:tc>
        <w:tc>
          <w:tcPr>
            <w:tcW w:type="dxa" w:w="1428"/>
            <w:shd w:fill="D9EAF7"/>
            <w:vAlign w:val="center"/>
          </w:tcPr>
          <w:p>
            <w:r>
              <w:rPr>
                <w:b/>
                <w:sz w:val="14"/>
              </w:rPr>
              <w:t>terminal_state</w:t>
            </w:r>
          </w:p>
        </w:tc>
        <w:tc>
          <w:tcPr>
            <w:tcW w:type="dxa" w:w="1428"/>
            <w:shd w:fill="D9EAF7"/>
            <w:vAlign w:val="center"/>
          </w:tcPr>
          <w:p>
            <w:r>
              <w:rPr>
                <w:b/>
                <w:sz w:val="14"/>
              </w:rPr>
              <w:t>expected_primary_reason</w:t>
            </w:r>
          </w:p>
        </w:tc>
        <w:tc>
          <w:tcPr>
            <w:tcW w:type="dxa" w:w="1428"/>
            <w:shd w:fill="D9EAF7"/>
            <w:vAlign w:val="center"/>
          </w:tcPr>
          <w:p>
            <w:r>
              <w:rPr>
                <w:b/>
                <w:sz w:val="14"/>
              </w:rPr>
              <w:t>primary_reason_code</w:t>
            </w:r>
          </w:p>
        </w:tc>
        <w:tc>
          <w:tcPr>
            <w:tcW w:type="dxa" w:w="1428"/>
            <w:shd w:fill="D9EAF7"/>
            <w:vAlign w:val="center"/>
          </w:tcPr>
          <w:p>
            <w:r>
              <w:rPr>
                <w:b/>
                <w:sz w:val="14"/>
              </w:rPr>
              <w:t>safe_nonproceed</w:t>
            </w:r>
          </w:p>
        </w:tc>
        <w:tc>
          <w:tcPr>
            <w:tcW w:type="dxa" w:w="1428"/>
            <w:shd w:fill="D9EAF7"/>
            <w:vAlign w:val="center"/>
          </w:tcPr>
          <w:p>
            <w:r>
              <w:rPr>
                <w:b/>
                <w:sz w:val="14"/>
              </w:rPr>
              <w:t>exact_primary_reason_match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KIC-01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DONOR_DELETION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EVIDENCE.TARGET_SUPPORT.INSUFFICIENT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EVIDENCE.TARGET_SUPPORT.INSUFFICIENT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KIC-02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CELL_LEVEL_PSEUDOREPLICATION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DESIGN.DONOR.INVALID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DESIGN.DONOR.INVALID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KIC-03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BATCH_CONDITION_CONFOUNDING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DESIGN.CONFOUNDING.COMPLETE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DESIGN.CONFOUNDING.COMPLETE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KIC-04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DUPLICATE_DONOR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DESIGN.DONOR.INVALID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DESIGN.DONOR.INVALID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KIC-05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PAIR_DESTRUCTION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EVIDENCE.MODEL.NONESTIMABLE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EVIDENCE.MODEL.NONESTIMABLE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KIC-06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WRONG_TARGET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EVIDENCE.REFERENCE.MISSING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EVIDENCE.REFERENCE.MISSING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KIC-07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WRONG_VERSION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GOV.IDENTITY.UNBOUND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GOV.IDENTITY.UNBOUND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KIC-08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MIXED_STRATA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DESIGN.CONDITION.CONFLICT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DESIGN.CONDITION.CONFLICT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  <w:tr>
        <w:tc>
          <w:tcPr>
            <w:tcW w:type="dxa" w:w="1428"/>
            <w:vAlign w:val="center"/>
          </w:tcPr>
          <w:p>
            <w:r>
              <w:rPr>
                <w:sz w:val="13"/>
              </w:rPr>
              <w:t>KIC-09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LOW_SUPPORT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EVIDENCE.TARGET_SUPPORT.INSUFFICIENT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EVIDENCE.TARGET_SUPPORT.INSUFFICIENT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3"/>
              </w:rPr>
              <w:t>YES</w:t>
            </w:r>
          </w:p>
        </w:tc>
      </w:tr>
    </w:tbl>
    <w:p/>
    <w:p>
      <w:pPr>
        <w:pStyle w:val="Heading1"/>
      </w:pPr>
      <w:r>
        <w:t>Supplementary Table 5 | Repository transport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  <w:gridCol w:w="909"/>
      </w:tblGrid>
      <w:tr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transport_audit_id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study_family_id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repository_platform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publication_year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time_split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initial_tier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terminal_state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reason_codes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expression_accessed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outcome_accessed</w:t>
            </w:r>
          </w:p>
        </w:tc>
        <w:tc>
          <w:tcPr>
            <w:tcW w:type="dxa" w:w="909"/>
            <w:shd w:fill="D9EAF7"/>
            <w:vAlign w:val="center"/>
          </w:tcPr>
          <w:p>
            <w:r>
              <w:rPr>
                <w:b/>
                <w:sz w:val="14"/>
              </w:rPr>
              <w:t>effect_claim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SF-CXG-3116d060-0a8e-4767-99bb-e866badea1ed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BIOSTUDIES_ARRAYEXPRESS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HOLD-002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SF-CXG-b1a879f6-5638-48d3-8f64-f6592c1b1561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BIOSTUDIES_ARRAYEXPRESS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2022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SF-CXG-e2c257e7-6f79-487c-b81c-39451cd4ab3c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BIOSTUDIES_ARRAYEXPRESS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SF-CXG-2d40e6a7-f2fd-49ba-9db9-6b97e4c6dad5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BIOSTUDIES_ARRAYEXPRESS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2024_OR_LATER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HOLD-005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SF-CXG-73f82ac8-15cc-4fcd-87f8-5683723fce7f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BIOSTUDIES_ARRAYEXPRESS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2024_OR_LATER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HOLD-006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SF-CXG-02b01703-bf1b-48de-b99a-23bef8cccc81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SINGLE_CELL_PORTAL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HOLD-007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SF-CXG-fe0e718d-2ee9-42cc-894b-0b490f437dfd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SINGLE_CELL_PORTAL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2024_OR_LATER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HOLD-008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SF-CXG-33d19f34-87f5-455b-8ca5-9023a2e5453d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SINGLE_CELL_PORTAL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HOLD-009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SF-CXG-a3ffde6c-7ad2-498a-903c-d58e732f7470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SINGLE_CELL_PORTAL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2022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HOLD-010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SF-CXG-8e880741-bf9a-4c8e-9227-934204631d2a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NCBI_GEO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SF-CXG-74e10dc4-cbb2-4605-a189-8a1cd8e44d8c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NCBI_GEO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HOLD-012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SF-CXG-bfd55632-15e2-4dde-a1b9-02ade511fc4d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NCBI_GEO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2025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2024_OR_LATER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SF-CXG-60358420-6055-411d-ba4f-e8ac80682a2e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NCBI_GEO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SF-CXG-ba84c7ba-8d8c-4720-a76e-3ee37dc89f0b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NCBI_GEO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2024_OR_LATER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HOLD-015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SF-CXG-e5f58829-1a66-40b5-a624-9046778e74f5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HUMAN_CELL_ATLAS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HOLD-016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SF-CXG-b52eb423-5d0d-4645-b217-e1c6d38b2e72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HUMAN_CELL_ATLAS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2021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HOLD-017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SF-CXG-120e86b4-1195-48c5-845b-b98054105eec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HUMAN_CELL_ATLAS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2022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  <w:tr>
        <w:tc>
          <w:tcPr>
            <w:tcW w:type="dxa" w:w="909"/>
            <w:vAlign w:val="center"/>
          </w:tcPr>
          <w:p>
            <w:r>
              <w:rPr>
                <w:sz w:val="13"/>
              </w:rPr>
              <w:t>HOLD-018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SF-CXG-3f50314f-bdc9-40c6-8e4a-b0901ebfbe4c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HUMAN_CELL_ATLAS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2023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PRE_2024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TIER_C_STRUCTURAL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NON_EVALUABLE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ONTOLOGY_UNMAPPED;DONOR_MAPPING_NOT_EVALUATED;SUPPORT_NOT_COMPUTED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909"/>
            <w:vAlign w:val="center"/>
          </w:tcPr>
          <w:p>
            <w:r>
              <w:rPr>
                <w:sz w:val="13"/>
              </w:rPr>
              <w:t>PROHIBITED</w:t>
            </w:r>
          </w:p>
        </w:tc>
      </w:tr>
    </w:tbl>
    <w:p/>
    <w:p>
      <w:pPr>
        <w:pStyle w:val="Heading1"/>
      </w:pPr>
      <w:r>
        <w:t>Supplementary Table 6 | Software identity and reproducibility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10"/>
        <w:gridCol w:w="1110"/>
        <w:gridCol w:w="1110"/>
        <w:gridCol w:w="1110"/>
        <w:gridCol w:w="1110"/>
        <w:gridCol w:w="1110"/>
        <w:gridCol w:w="1110"/>
        <w:gridCol w:w="1110"/>
        <w:gridCol w:w="1110"/>
      </w:tblGrid>
      <w:tr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artifact_type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archive_path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bytes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sha256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evaluated_source_commit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evaluated_source_tree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identity_status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public_release_status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interpretive_boundary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wheel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software_reviewer_archive/artifacts/scdesignguard_nm03-0.1.0-py3-none-any.whl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15767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59b74e2e60315094fb5e9d70224eb7724d8839d75e2e3f8457042f2df0ec9986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oci_image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software_reviewer_archive/artifacts/scdesignguard_nm03_0.1.0.oci.tar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50994176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ad675089b934e6d96c1bfd83b9deb4fc6c9ac8dbda345ce9e08a9d7d9b21c85d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json_schema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software_reviewer_archive/artifacts/design-contract.schema.v1.0.0.json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4259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8755803b1a0224f5d41ab283a9ea3fe607228f40f4fec8d51c514d9b68294616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reason_code_registry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software_reviewer_archive/REASON_CODE_MANIFEST.csv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1987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7317bfe7c11bcd960ddd60345fd5ef71928b5c3ed2afd23133f62b6f2149b9f3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dependency_definition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software_reviewer_archive/pyproject.toml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649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56d8902896a2d26fe63baf2a82f7641d617ab6d8bfa9441244f166f007d15d28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container_definition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software_reviewer_archive/Containerfile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543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afb6cdf276241827ffc5bb8a7d44a7345bb382e43977cfcc75ecddd503f17438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sbom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software_reviewer_archive/artifacts/SBOM.spdx.json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9432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e02b3637b244dba1002bf221c479f289cb4270189d39922cf929adf02f52aa68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test_receipt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software_reviewer_archive/independent_reproduction_receipts/VALIDATION_REPORT.json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7007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0d67fa2be499819b617576510b1565673c598c53c93aaae22efc7f313e071dcb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execution_receipt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software_reviewer_archive/independent_reproduction_receipts/W6C_EXECUTION_RECEIPT.json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924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719e7f2f7f1c5c13ffa02bd82959a2ff829f7d2a39f40b36aea4d3eca1144579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security_receipt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software_reviewer_archive/independent_reproduction_receipts/SBOM_SECURITY_RECEIPT.json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1295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7877a925f17b906fd4ca9aa4b088d363940dbd70a649c5aebc27d38c6cafbcd9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6d7d87b45c64c7f6f62ba818eb69b33c147d66e5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f2be0de9ac1c0d6cb55274d209254cab5b0f3f68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ARCHIVAL_IDENTITY_BOUND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NOT_PUBLICLY_RELEASED_REVIEWER_ARCHIVE_ONLY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ARCHIVAL_IDENTITY_MANIFEST_NOT_RETROSPECTIVE_PROSPECTIVE_FREEZE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fill="D9EAF7"/>
            <w:vAlign w:val="center"/>
          </w:tcPr>
          <w:p>
            <w:r>
              <w:rPr>
                <w:b/>
                <w:sz w:val="14"/>
              </w:rPr>
              <w:t>metric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  <w:sz w:val="14"/>
              </w:rPr>
              <w:t>numerator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  <w:sz w:val="14"/>
              </w:rPr>
              <w:t>denominator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  <w:sz w:val="14"/>
              </w:rPr>
              <w:t>detail</w:t>
            </w:r>
          </w:p>
        </w:tc>
      </w:tr>
      <w:tr>
        <w:tc>
          <w:tcPr>
            <w:tcW w:type="dxa" w:w="2498"/>
            <w:vAlign w:val="center"/>
          </w:tcPr>
          <w:p>
            <w:r>
              <w:rPr>
                <w:sz w:val="13"/>
              </w:rPr>
              <w:t>current_release_test_suites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2498"/>
            <w:vAlign w:val="center"/>
          </w:tcPr>
          <w:p>
            <w:r>
              <w:rPr>
                <w:sz w:val="13"/>
              </w:rPr>
              <w:t>expected_historical_compatibility_suites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preserved behavior</w:t>
            </w:r>
          </w:p>
        </w:tc>
      </w:tr>
      <w:tr>
        <w:tc>
          <w:tcPr>
            <w:tcW w:type="dxa" w:w="2498"/>
            <w:vAlign w:val="center"/>
          </w:tcPr>
          <w:p>
            <w:r>
              <w:rPr>
                <w:sz w:val="13"/>
              </w:rPr>
              <w:t>repository_unit_tests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1362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1362</w:t>
            </w:r>
          </w:p>
        </w:tc>
        <w:tc>
          <w:tcPr>
            <w:tcW w:type="dxa" w:w="2498"/>
            <w:vAlign w:val="center"/>
          </w:tcPr>
          <w:p>
            <w:r>
              <w:rPr>
                <w:sz w:val="13"/>
              </w:rPr>
              <w:t>PASS</w:t>
            </w:r>
          </w:p>
        </w:tc>
      </w:tr>
    </w:tbl>
    <w:p/>
    <w:p>
      <w:pPr>
        <w:pStyle w:val="Heading1"/>
      </w:pPr>
      <w:r>
        <w:t>Supplementary Table 7 | Beta-cell analysis, quality control and sensitivity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cluster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ND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PD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T2D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contrast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tested_genes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edgeR_within_FDR_0_05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edgeR_global_FDR_0_05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voom_global_FDR_0_05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global_overlap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spearman_logFC</w:t>
            </w:r>
          </w:p>
        </w:tc>
        <w:tc>
          <w:tcPr>
            <w:tcW w:type="dxa" w:w="833"/>
            <w:shd w:fill="D9EAF7"/>
            <w:vAlign w:val="center"/>
          </w:tcPr>
          <w:p>
            <w:r>
              <w:rPr>
                <w:b/>
                <w:sz w:val="14"/>
              </w:rPr>
              <w:t>sign_concordance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14259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79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71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72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53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0.9248869538485428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0.9120555438670314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C1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14647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158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110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120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93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0.9393810206372684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0.9281764183791904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C2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13918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103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82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90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58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0.943957471504516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0.9295875844230492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12549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60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58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63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45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0.9544616135062206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0.9291577018089092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11603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28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26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0.953515298017543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0.9309661294492804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C5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12367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26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36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34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24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0.9320549161906678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0.920109970081669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12805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30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31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0.9268520703689374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0.9169074580242093</w:t>
            </w:r>
          </w:p>
        </w:tc>
      </w:tr>
      <w:tr>
        <w:tc>
          <w:tcPr>
            <w:tcW w:type="dxa" w:w="833"/>
            <w:vAlign w:val="center"/>
          </w:tcPr>
          <w:p>
            <w:r>
              <w:rPr>
                <w:sz w:val="13"/>
              </w:rPr>
              <w:t>C7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T2D-ND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8286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0.9483913150964532</w:t>
            </w:r>
          </w:p>
        </w:tc>
        <w:tc>
          <w:tcPr>
            <w:tcW w:type="dxa" w:w="833"/>
            <w:vAlign w:val="center"/>
          </w:tcPr>
          <w:p>
            <w:r>
              <w:rPr>
                <w:sz w:val="13"/>
              </w:rPr>
              <w:t>0.9240888245232924</w:t>
            </w:r>
          </w:p>
        </w:tc>
      </w:tr>
    </w:tbl>
    <w:p/>
    <w:p>
      <w:pPr>
        <w:pStyle w:val="Heading1"/>
      </w:pPr>
      <w:r>
        <w:t>Supplementary Table 8 | Conservative capability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10"/>
        <w:gridCol w:w="1110"/>
        <w:gridCol w:w="1110"/>
        <w:gridCol w:w="1110"/>
        <w:gridCol w:w="1110"/>
        <w:gridCol w:w="1110"/>
        <w:gridCol w:w="1110"/>
        <w:gridCol w:w="1110"/>
        <w:gridCol w:w="1110"/>
      </w:tblGrid>
      <w:tr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approach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documented_primary_role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source_version_gate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donor_design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ontology_relation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target_support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estimability_authorization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effect_estimation</w:t>
            </w:r>
          </w:p>
        </w:tc>
        <w:tc>
          <w:tcPr>
            <w:tcW w:type="dxa" w:w="1110"/>
            <w:shd w:fill="D9EAF7"/>
            <w:vAlign w:val="center"/>
          </w:tcPr>
          <w:p>
            <w:r>
              <w:rPr>
                <w:b/>
                <w:sz w:val="14"/>
              </w:rPr>
              <w:t>evidence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scDesignGuard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Pre-inference source/design authorization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Delegates estimation to downstream engines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This study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Donor-aware pseudobulk practice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Biological-unit-aware aggregation and inference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Core design requirement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Study-specific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Model-dependent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Performs effect estimation through a statistical engine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Refs. 8–10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edgeR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Count-based differential analysis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Supplied through the design matrix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Model and contrast diagnostics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Performs effect estimation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Ref. 20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limma-voom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Precision-weighted linear modelling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Supplied through the design matrix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Model and contrast diagnostics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Performs effect estimation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Refs. 52,53</w:t>
            </w:r>
          </w:p>
        </w:tc>
      </w:tr>
      <w:tr>
        <w:tc>
          <w:tcPr>
            <w:tcW w:type="dxa" w:w="1110"/>
            <w:vAlign w:val="center"/>
          </w:tcPr>
          <w:p>
            <w:r>
              <w:rPr>
                <w:sz w:val="13"/>
              </w:rPr>
              <w:t>Cell Ontology / SSSOM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Semantic identity and mapping representation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Core semantic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Not a required or documented core function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Does not estimate effects</w:t>
            </w:r>
          </w:p>
        </w:tc>
        <w:tc>
          <w:tcPr>
            <w:tcW w:type="dxa" w:w="1110"/>
            <w:vAlign w:val="center"/>
          </w:tcPr>
          <w:p>
            <w:r>
              <w:rPr>
                <w:sz w:val="13"/>
              </w:rPr>
              <w:t>Refs. 46–48</w:t>
            </w:r>
          </w:p>
        </w:tc>
      </w:tr>
    </w:tbl>
    <w:p/>
    <w:p>
      <w:r>
        <w:t>Entries describe documented primary roles and required core functions. They do not constitute a performance ranking or a claim that other approaches cannot be extended.</w:t>
      </w:r>
    </w:p>
    <w:p>
      <w:pPr>
        <w:sectPr>
          <w:pgSz w:w="12240" w:h="15840"/>
          <w:pgMar w:top="1037" w:right="1123" w:bottom="1037" w:left="1123" w:header="720" w:footer="720" w:gutter="0"/>
          <w:cols w:space="720"/>
          <w:docGrid w:linePitch="360"/>
        </w:sectPr>
      </w:pPr>
    </w:p>
    <w:p>
      <w:pPr>
        <w:pStyle w:val="Heading1"/>
      </w:pPr>
      <w:r>
        <w:t>Supplementary Table 9 | Registered 24-family selection and overlap-exclusion ledger</w:t>
      </w:r>
    </w:p>
    <w:p>
      <w:r>
        <w:t>This exact candidate ledger records the frozen 24-family registry, the nine prespecified development/calibration study-family overlap exclusions and the 15 families contributing to final primary performance denominators. Excluded records retain their frozen human labels and contribute zero to every primary numerator and denominator.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</w:tcPr>
          <w:p>
            <w:r>
              <w:rPr>
                <w:sz w:val="11"/>
              </w:rPr>
              <w:t>registered_order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record_id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repository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accession_or_collection_id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frozen_human_reference_class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frozen_human_primary_reason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final_overlap_status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final_primary_inclusion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exclusion_reason</w:t>
            </w:r>
          </w:p>
        </w:tc>
        <w:tc>
          <w:tcPr>
            <w:tcW w:type="dxa" w:w="1454"/>
          </w:tcPr>
          <w:p>
            <w:r>
              <w:rPr>
                <w:sz w:val="11"/>
              </w:rPr>
              <w:t>primary_denominator_contribution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GSE115978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GSE131907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DN12-GEO-03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GSE98638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DN12-GEO-04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GSE99254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DN12-GEO-05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GSE81730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STRUCTURALLY_UNRESOLVED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SUPPORT.INDEPENDENT_UNITS.BELOW_FROZEN_THRESHOLD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DN12-GEO-06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GSE72056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STRUCTURALLY_UNRESOLVED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ESTIMAND.UNRESOLVED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DN12-GEO-07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GSE57872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STRUCTURALLY_UNRESOLVED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SOURCE_SCOPE.MIXED_OBJECTS_AND_ESTIMAND_UNRESOLVED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DN12-GEO-08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GSE85241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STRUCTURALLY_UNRESOLVED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SUPPORT.INDEPENDENT_UNITS.BELOW_FROZEN_THRESHOLD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DN12-GEO-09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GSE78711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HARD_INVALID_DESIGN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SOURCE_SCOPE.NOT_SINGLE_CELL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DN12-GEO-10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GSE79136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HARD_INVALID_DESIGN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DESIGN.NO_DONOR_LEVEL_BIOLOGICAL_ESTIMAND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DN12-GEO-11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GSE85575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HARD_INVALID_DESIGN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DESIGN.CELL_LINE_TECHNICAL_BENCHMARK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DN12-GEO-12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GEO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GSE75748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HARD_INVALID_DESIGN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DESIGN.NO_INDEPENDENT_HUMAN_DONOR_REPLICATION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07e12576-b41b-4350-adfc-059bfc4328ea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7c7bd6c2-925b-4034-baab-620ef1b760e1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DN12-CXG-03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1ca90a2d-2943-483d-b678-b809bf464c30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DN12-CXG-04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c53573b2-eff4-4c5e-9ad0-b24d422dfd9b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DN12-CXG-05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84ce6837-548d-4a1f-919f-0bc0d9a3952f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18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DN12-CXG-06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433700dc-e8a5-48b0-b5cd-beb22f3f88fe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19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DN12-CXG-07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17481d16-ee44-49e5-bcf0-28c0780d8c4a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STRUCTURALLY_UNRESOLVED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ESTIMAND.UNRESOLVED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DN12-CXG-08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CELLxGENE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e33ffcd3-7cbf-4b8c-b0f4-85587ad5019a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STRUCTURALLY_UNRESOLVED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ESTIMAND.MULTI_AXIS_UNRESOLVED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DEVELOPMENT_CORPUS_EXACT_ID_OVERLAP_FAIL_CLOSED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PREDEFINED_DEVELOPMENT_AND_CALIBRATION_STUDY_FAMILY_OVERLAP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0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21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DN12-AE-01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BioStudies/ArrayExpress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E-MTAB-5905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NONE_STRUCTURE_CLEAR_PENDING_SDRF_RECOMPUTATION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22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DN12-AE-02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BioStudies/ArrayExpress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E-MTAB-6653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STRUCTURALLY_UNRESOLVED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SUPPORT.INDEPENDENT_UNITS.BELOW_FROZEN_THRESHOLD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23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DN12-AE-03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BioStudies/ArrayExpress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E-MTAB-10296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HARD_INVALID_DESIGN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DESIGN.CELL_LINE_METHOD_DEMONSTRATION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  <w:tr>
        <w:tc>
          <w:tcPr>
            <w:tcW w:type="dxa" w:w="1454"/>
            <w:vAlign w:val="center"/>
          </w:tcPr>
          <w:p>
            <w:r>
              <w:rPr>
                <w:sz w:val="11"/>
              </w:rPr>
              <w:t>24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DN12-AE-04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BioStudies/ArrayExpress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E-MTAB-5480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HARD_INVALID_DESIGN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DESIGN.TECHNICAL_METHOD_COMPARISON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NO_EXACT_ID_MATCH_IN_FROZEN_DEVELOPMENT_129_AUTHORITY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YES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NOT_APPLICABLE_INCLUDED</w:t>
            </w:r>
          </w:p>
        </w:tc>
        <w:tc>
          <w:tcPr>
            <w:tcW w:type="dxa" w:w="1454"/>
            <w:vAlign w:val="center"/>
          </w:tcPr>
          <w:p>
            <w:r>
              <w:rPr>
                <w:sz w:val="11"/>
              </w:rPr>
              <w:t>1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59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75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5313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scDesignGuard Supplementary Information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