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表表归一</w:t>
      </w:r>
    </w:p>
    <w:p>
      <w:pPr>
        <w:pStyle w:val="Heading2"/>
      </w:pPr>
      <w:r>
        <w:rPr>
          <w:color w:val="000000"/>
        </w:rPr>
        <w:t>软件概述</w:t>
      </w:r>
    </w:p>
    <w:p>
      <w:r>
        <w:rPr>
          <w:rFonts w:ascii="SimSun" w:hAnsi="SimSun" w:eastAsia="SimSun"/>
          <w:color w:val="000000"/>
          <w:sz w:val="21"/>
        </w:rPr>
        <w:t>表表归一 V1.0.0是一款面向政务财务管理、审计、企事业单位财务统计场景的软件系统。xlsOne 是一款桌面端 Excel 财务报表汇总工具，面向需要将多份格式相同的 Excel 报表合并为一份汇总表的财务审计场景。软件自动识别单元格类型（金额/编码/标签），对金额求和、标签保留原值，大幅减少人工汇总工作量。</w:t>
      </w:r>
    </w:p>
    <w:p>
      <w:r>
        <w:rPr>
          <w:rFonts w:ascii="SimSun" w:hAnsi="SimSun" w:eastAsia="SimSun"/>
          <w:color w:val="000000"/>
          <w:sz w:val="21"/>
        </w:rPr>
        <w:t>软件围绕文件导入、工作簿结构校验、工作表切换管理、智能单元格聚合、穿透查阅等功能组织页面，为各级政府财政部门的统计人员、企事业单位的财务人员、会计师事务所的审计人员提供操作入口和结果反馈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文件导入：文件导入主要用于支持批量导入多个 Excel 文件（.xlsx 和 .xls），可通过拖拽或菜单打开文件方式导入。导入后显示文件列表，支持添加和关闭文件。用户可以通过查看、搜索或筛选信息，找到需要继续处理的数据。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工作簿结构校验：工作簿结构校验主要用于自动校验所有导入文件的结构是否一致，包括行数、列数、工作表名称等。对于结构不匹配的文件给出警告或排除提示，确保汇总结果的准确性。这一页可接续“文件导入”形成的内容，继续办理当前业务事项。用户可以集中查看、保存和复用相关资料，减少重复查找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工作表切换管理：工作表切换管理主要用于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智能单元格聚合：智能单元格聚合主要用于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用户可以通过查看、搜索或筛选信息，找到需要继续处理的数据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穿透查阅主要用于点击汇总表中的任一单元格，侧边栏展示该单元格位置在所有源文件中的原始值及对应文件名，方便核查汇总来源。本环节会承接“智能单元格聚合”留下的资料，使前后操作保持连贯。用户可以集中查看、保存和复用相关资料，减少重复查找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类型修正与规则管理主要用于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用户可以集中查看、保存和复用相关资料，减少重复查找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导出汇总结果：导出汇总结果主要用于将汇总后的表格导出为 .xlsx 格式的 Excel 工作簿，保留原始行列结构和表头信息，方便存档和分发。在流程上，它会沿用“类型修正与规则管理”中已经确认的信息，帮助用户进入下一步处理。用户可以查看处理进度、确认关键结果，并根据页面提示继续推进。</w:t>
      </w:r>
    </w:p>
    <w:p>
      <w:pPr>
        <w:pStyle w:val="Heading2"/>
      </w:pPr>
      <w:r>
        <w:rPr>
          <w:color w:val="000000"/>
        </w:rPr>
        <w:t>适用对象与运行环境</w:t>
      </w:r>
    </w:p>
    <w:p>
      <w:pPr>
        <w:pStyle w:val="Heading2"/>
      </w:pPr>
      <w:r>
        <w:rPr>
          <w:color w:val="000000"/>
        </w:rPr>
        <w:t>启动与主界面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导入文件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查看汇总结果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穿透查阅原始数据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修正汇总类型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保存与应用方案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导出汇总结果</w:t>
      </w:r>
    </w:p>
    <w:p>
      <w:pPr>
        <w:pStyle w:val="Heading3"/>
      </w:pPr>
      <w:r>
        <w:rPr>
          <w:color w:val="000000"/>
        </w:rPr>
        <w:t>1. 文件导入</w:t>
      </w:r>
    </w:p>
    <w:p>
      <w:r>
        <w:rPr>
          <w:rFonts w:ascii="SimSun" w:hAnsi="SimSun" w:eastAsia="SimSun"/>
          <w:color w:val="000000"/>
          <w:sz w:val="21"/>
        </w:rPr>
        <w:t>在文件导入中，用户可以支持批量导入多个 Excel 文件（.xlsx 和 .xls），可通过拖拽或菜单打开文件方式导入。导入后显示文件列表，支持添加和关闭文件。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这一步通常是用户进入具体业务的起点，后续页面会围绕当前选择或填写的信息继续展开。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完成该操作后，用户可以定位到目标数据，并根据页面提供的入口继续查看或办理。确认后，用户可转入“工作簿结构校验”继续处理。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【截图预留：请在此处插入“文件导入”页面或操作结果截图。】</w:t>
      </w:r>
    </w:p>
    <w:p>
      <w:pPr>
        <w:pStyle w:val="Heading3"/>
      </w:pPr>
      <w:r>
        <w:rPr>
          <w:color w:val="000000"/>
        </w:rPr>
        <w:t>2. 工作簿结构校验</w:t>
      </w:r>
    </w:p>
    <w:p>
      <w:r>
        <w:rPr>
          <w:rFonts w:ascii="SimSun" w:hAnsi="SimSun" w:eastAsia="SimSun"/>
          <w:color w:val="000000"/>
          <w:sz w:val="21"/>
        </w:rPr>
        <w:t>通过工作簿结构校验，用户可以自动校验所有导入文件的结构是否一致，包括行数、列数、工作表名称等。对于结构不匹配的文件给出警告或排除提示，确保汇总结果的准确性。这一页可接续“文件导入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 它通常承接前一环节的信息，帮助用户把事项推进到更具体的处理页面。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完成该操作后，相关资料会被集中保存，用户后续可以继续查找、复用或维护。该结果确认后，后续可进入“工作表切换管理”继续完善。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【截图预留：请在此处插入“工作簿结构校验”页面或操作结果截图。】</w:t>
      </w:r>
    </w:p>
    <w:p>
      <w:pPr>
        <w:pStyle w:val="Heading3"/>
      </w:pPr>
      <w:r>
        <w:rPr>
          <w:color w:val="000000"/>
        </w:rPr>
        <w:t>3. 工作表切换管理</w:t>
      </w:r>
    </w:p>
    <w:p>
      <w:r>
        <w:rPr>
          <w:rFonts w:ascii="SimSun" w:hAnsi="SimSun" w:eastAsia="SimSun"/>
          <w:color w:val="000000"/>
          <w:sz w:val="21"/>
        </w:rPr>
        <w:t>在工作表切换管理中，用户可以自动识别所有文件中的工作表名称，以标签页形式展示，用户可切换不同工作表查看对应的汇总数据。切换工作表时自动重新汇总。在流程上，它会沿用“工作簿结构校验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用户进入页面后，可以通过列表、筛选条件或搜索框查找目标信息。页面会把符合条件的内容展示出来，便于继续查看详情或进行后续处理。 这一环节会把前面已经确认的内容进一步细化，便于审核人员理解软件的实际使用路径。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进入对应查询或列表页面。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输入关键词，或选择时间、分类、状态等筛选条件。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查看页面返回的列表或详情内容。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选择需要继续处理的数据，进入详情、编辑或确认页面。</w:t>
      </w:r>
    </w:p>
    <w:p>
      <w:r>
        <w:rPr>
          <w:rFonts w:ascii="SimSun" w:hAnsi="SimSun" w:eastAsia="SimSun"/>
          <w:color w:val="000000"/>
          <w:sz w:val="21"/>
        </w:rPr>
        <w:t>完成该操作后，用户可以定位到目标数据，并根据页面提供的入口继续查看或办理。用户完成检查后，可以打开“智能单元格聚合”推进后续工作。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【截图预留：请在此处插入“工作表切换管理”页面或操作结果截图。】</w:t>
      </w:r>
    </w:p>
    <w:p>
      <w:pPr>
        <w:pStyle w:val="Heading3"/>
      </w:pPr>
      <w:r>
        <w:rPr>
          <w:color w:val="000000"/>
        </w:rPr>
        <w:t>4. 智能单元格聚合</w:t>
      </w:r>
    </w:p>
    <w:p>
      <w:r>
        <w:rPr>
          <w:rFonts w:ascii="SimSun" w:hAnsi="SimSun" w:eastAsia="SimSun"/>
          <w:color w:val="000000"/>
          <w:sz w:val="21"/>
        </w:rPr>
        <w:t>在智能单元格聚合中，用户可以核心功能。对每个单元格位置，自动判断类型并执行对应操作：所有文件值相同则显示标签（如科目代码'201'）；值不同且均为数字则显示求和结果；值不同且包含非数字则显示不同值的条数（如'3条'）。支持千分位、欧式小数、百分比等多种数字格式的自动识别和运算。用户通常会在完成“工作表切换管理”后进入本环节，并继续查看新的处理结果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完成该操作后，相关资料会被集中保存，用户后续可以继续查找、复用或维护。保存当前结果后，软件会支持用户继续前往“穿透查阅”。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【截图预留：请在此处插入“智能单元格聚合”页面或操作结果截图。】</w:t>
      </w:r>
    </w:p>
    <w:p>
      <w:pPr>
        <w:pStyle w:val="Heading3"/>
      </w:pPr>
      <w:r>
        <w:rPr>
          <w:color w:val="000000"/>
        </w:rPr>
        <w:t>5. 穿透查阅</w:t>
      </w:r>
    </w:p>
    <w:p>
      <w:r>
        <w:rPr>
          <w:rFonts w:ascii="SimSun" w:hAnsi="SimSun" w:eastAsia="SimSun"/>
          <w:color w:val="000000"/>
          <w:sz w:val="21"/>
        </w:rPr>
        <w:t>通过穿透查阅，用户可以点击汇总表中的任一单元格，侧边栏展示该单元格位置在所有源文件中的原始值及对应文件名，方便核查汇总来源。本环节会承接“智能单元格聚合”留下的资料，使前后操作保持连贯。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进入资料、文件或资源管理穿透查阅页面。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穿透查阅：选择需要查看、使用或维护的资料。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保存处理结果，并返回当前业务穿透查阅页面继续使用。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完成该操作后，相关资料会被集中保存，用户后续可以继续查找、复用或维护。确认后，用户可转入“类型修正与规则管理”继续处理。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【截图预留：请在此处插入“穿透查阅”页面或操作结果截图。】</w:t>
      </w:r>
    </w:p>
    <w:p>
      <w:pPr>
        <w:pStyle w:val="Heading3"/>
      </w:pPr>
      <w:r>
        <w:rPr>
          <w:color w:val="000000"/>
        </w:rPr>
        <w:t>6. 类型修正与规则管理</w:t>
      </w:r>
    </w:p>
    <w:p>
      <w:r>
        <w:rPr>
          <w:rFonts w:ascii="SimSun" w:hAnsi="SimSun" w:eastAsia="SimSun"/>
          <w:color w:val="000000"/>
          <w:sz w:val="21"/>
        </w:rPr>
        <w:t>通过类型修正与规则管理，用户可以当自动识别结果不准确时，用户可手动将单元格标记为金额（求和）、标签（保留）或混合类型。修正规则可保存为方案（Schema），下次导入同类文件时自动应用。这一页可接续“穿透查阅”形成的内容，继续办理当前业务事项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进入资料、文件或资源管理类型修正与规则管理页面。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类型修正与规则管理：选择需要查看、使用或维护的资料。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保存处理结果，并返回当前业务类型修正与规则管理页面继续使用。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完成该操作后，相关资料会被集中保存，用户后续可以继续查找、复用或维护。该结果确认后，后续可进入“导出汇总结果”继续完善。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【截图预留：请在此处插入“类型修正与规则管理”页面或操作结果截图。】</w:t>
      </w:r>
    </w:p>
    <w:p>
      <w:pPr>
        <w:pStyle w:val="Heading3"/>
      </w:pPr>
      <w:r>
        <w:rPr>
          <w:color w:val="000000"/>
        </w:rPr>
        <w:t>7. 导出汇总结果</w:t>
      </w:r>
    </w:p>
    <w:p>
      <w:r>
        <w:rPr>
          <w:rFonts w:ascii="SimSun" w:hAnsi="SimSun" w:eastAsia="SimSun"/>
          <w:color w:val="000000"/>
          <w:sz w:val="21"/>
        </w:rPr>
        <w:t>在导出汇总结果环节，用户可以将汇总后的表格导出为 .xlsx 格式的 Excel 工作簿，保留原始行列结构和表头信息，方便存档和分发。在流程上，它会沿用“类型修正与规则管理”中已经确认的信息，帮助用户进入下一步处理。</w:t>
      </w:r>
    </w:p>
    <w:p>
      <w:r>
        <w:rPr>
          <w:rFonts w:ascii="SimSun" w:hAnsi="SimSun" w:eastAsia="SimSun"/>
          <w:color w:val="000000"/>
          <w:sz w:val="21"/>
        </w:rPr>
        <w:t>该功能用于集中管理业务资料。用户可查看已有资料，上传或选择需要使用的内容，也可以把处理结果保存下来供后续复用。</w:t>
      </w:r>
    </w:p>
    <w:p>
      <w:r>
        <w:rPr>
          <w:rFonts w:ascii="SimSun" w:hAnsi="SimSun" w:eastAsia="SimSun"/>
          <w:color w:val="000000"/>
          <w:sz w:val="21"/>
        </w:rPr>
        <w:t>操作步骤：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进入资料、文件或资源管理导出汇总结果页面。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导出汇总结果：查看已有资料列表，或选择上传、导入、下载等操作。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导出汇总结果：选择需要查看、使用或维护的资料。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保存处理结果，并返回当前业务导出汇总结果页面继续使用。</w:t>
      </w:r>
    </w:p>
    <w:p>
      <w:r>
        <w:rPr>
          <w:rFonts w:ascii="SimSun" w:hAnsi="SimSun" w:eastAsia="SimSun"/>
          <w:color w:val="000000"/>
          <w:sz w:val="21"/>
        </w:rPr>
        <w:t>完成该操作后，相关资料会被集中保存，用户后续可以继续查找、复用或维护。</w:t>
      </w:r>
    </w:p>
    <w:p>
      <w:r>
        <w:rPr>
          <w:rFonts w:ascii="SimSun" w:hAnsi="SimSun" w:eastAsia="SimSun"/>
          <w:color w:val="000000"/>
          <w:sz w:val="21"/>
        </w:rPr>
        <w:t>【截图预留：请在此处插入“导出汇总结果”页面或操作结果截图。】</w:t>
      </w:r>
    </w:p>
    <w:p>
      <w:pPr>
        <w:pStyle w:val="Heading2"/>
      </w:pPr>
      <w:r>
        <w:rPr>
          <w:color w:val="000000"/>
        </w:rPr>
        <w:t>注意事项</w:t>
      </w:r>
    </w:p>
    <w:p>
      <w:pPr>
        <w:pStyle w:val="Heading2"/>
      </w:pPr>
      <w:r>
        <w:rPr>
          <w:color w:val="000000"/>
        </w:rPr>
        <w:t>典型使用流程</w:t>
      </w:r>
    </w:p>
    <w:p>
      <w:r>
        <w:rPr>
          <w:rFonts w:ascii="SimSun" w:hAnsi="SimSun" w:eastAsia="SimSun"/>
          <w:color w:val="000000"/>
          <w:sz w:val="21"/>
        </w:rPr>
        <w:t>表表归一的典型使用流程按照项目业务资料整理，审核人员可通过该流程理解主要功能之间的衔接关系。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用户启动 xlsOne 应用，看到空白工作台界面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用户拖拽或通过菜单打开多个格式相同的 Excel 财务报表文件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软件自动解析文件，校验各文件结构是否一致，给出校验报告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通过校验后显示汇总表格，表格顶部为工作表标签页，可切换不同工作表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汇总表格中：金额列自动求和显示，科目代码等标签列显示原始值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用户可点击任意单元格查看其原始数据来源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如发现识别不准确，用户可手动修正单元格类型，并可保存修正规则为方案</w:t>
      </w:r>
    </w:p>
    <w:p>
      <w:pPr>
        <w:pStyle w:val="ListNumber"/>
      </w:pPr>
      <w:r>
        <w:rPr>
          <w:rFonts w:ascii="SimSun" w:hAnsi="SimSun" w:eastAsia="SimSun"/>
          <w:color w:val="000000"/>
          <w:sz w:val="21"/>
        </w:rPr>
        <w:t>用户确认汇总结果无误后，导出为 Excel 文件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94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