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40" w:lineRule="exact"/>
        <w:jc w:val="center"/>
        <w:rPr>
          <w:rFonts w:ascii="方正小标宋简体" w:hAnsi="宋体" w:eastAsia="方正小标宋简体"/>
          <w:sz w:val="44"/>
          <w:szCs w:val="44"/>
        </w:rPr>
      </w:pPr>
      <w:r>
        <w:rPr>
          <w:rFonts w:hint="eastAsia" w:ascii="方正小标宋简体" w:hAnsi="宋体" w:eastAsia="方正小标宋简体"/>
          <w:sz w:val="44"/>
          <w:szCs w:val="44"/>
        </w:rPr>
        <w:t>不忘初心锐意进取谱华章</w:t>
      </w:r>
    </w:p>
    <w:p>
      <w:pPr>
        <w:spacing w:line="640" w:lineRule="exact"/>
        <w:jc w:val="center"/>
        <w:rPr>
          <w:rFonts w:ascii="方正小标宋简体" w:hAnsi="宋体" w:eastAsia="方正小标宋简体"/>
          <w:sz w:val="44"/>
          <w:szCs w:val="44"/>
        </w:rPr>
      </w:pPr>
      <w:r>
        <w:rPr>
          <w:rFonts w:hint="eastAsia" w:ascii="方正小标宋简体" w:hAnsi="宋体" w:eastAsia="方正小标宋简体"/>
          <w:sz w:val="44"/>
          <w:szCs w:val="44"/>
        </w:rPr>
        <w:t>砥砺奋进实干兴企再跨越</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七载春秋，沧桑巨变。</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2010年到2017年，是中国经济横跨“十二五”和“十三五”开局“稳增长、调结构”的7年，是宁夏经济社会蓬勃发展的7年，也是长城水务公司孕育、成长、壮大的7年。七年风雨相伴，宁夏长城水务有限责任公司始终不忘初心，坚持“</w:t>
      </w:r>
      <w:r>
        <w:rPr>
          <w:rFonts w:hint="eastAsia" w:ascii="仿宋_GB2312" w:hAnsi="Calibri" w:eastAsia="仿宋_GB2312" w:cs="Times New Roman"/>
          <w:sz w:val="32"/>
          <w:szCs w:val="32"/>
        </w:rPr>
        <w:t>打造宁蒙区域一流的综合环境服务商</w:t>
      </w:r>
      <w:r>
        <w:rPr>
          <w:rFonts w:hint="eastAsia" w:ascii="仿宋_GB2312" w:eastAsia="仿宋_GB2312"/>
          <w:sz w:val="32"/>
          <w:szCs w:val="32"/>
        </w:rPr>
        <w:t>”的定位，以100%的供水保障和优质的供水服务，走出一条不平凡的道路；七年砥砺前行，长城水务公司始终锐意进取，认真分析供水市场，科学调控运行方案，紧紧围绕供水工程建设和生产运营任务，团结协作、奋力拼搏、科学组织、严格管理，奏响了一曲“小企业、大作为”的华美乐章。</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7年，长城水务公司立足银川滨河新区、上海庙经济开发区、宁东能源化工基地和宝丰能源循环经济工业基地等几大工业基地核心，在七年的征程上绘就了一幅幅波澜壮阔的锦绣画卷，留下了一串串跳跃的的时代强音。</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14个月，长城水务人发扬“特别能吃苦、特别能战斗”的水利人精神，从开工建设到原水直供用时14个月高效完成了上海庙红墩子能源化工基地供水工程的建设。</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91名，不断壮大的长城水务人忠诚坚守、风雨兼程、奋发图强、追求卓越，打造了一个现代化的水务企业。</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8747万元，收入从1543万元到8747万元，彰显的是长城水务公司为区域经济发展所作出的杰出贡献。</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1852万元，利润从每年连续亏损2500余万元到盈利1852万元，凸显的是长城水务公司主动作为、强化管理、拓宽市场、多元发展的显著成果。</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 xml:space="preserve"> 10327万吨，截止2017年6月底，长城水务公司累计向四大工业园区稳定供水10327万吨，公司以100%的供水保障为宁蒙区域经济发展解除了后顾之忧。</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87.1%，地处毛乌素沙漠边缘的长城水厂区域近万亩戈壁滩植被覆盖率由工程建设之初的17.4%提高至87.1%，水土流失治理度达到87.5%，栽种各类苗木近百万株，为宁蒙两区工业园区的生态文明建设做出了极大的贡献，为改善区域的生态环境做出了积极贡献，彰显了国有企业履行社会责任的企业担当。</w:t>
      </w:r>
    </w:p>
    <w:p>
      <w:pPr>
        <w:spacing w:line="560" w:lineRule="exact"/>
        <w:ind w:firstLine="640" w:firstLineChars="200"/>
        <w:rPr>
          <w:rFonts w:ascii="黑体" w:hAnsi="黑体" w:eastAsia="黑体"/>
          <w:sz w:val="32"/>
          <w:szCs w:val="32"/>
        </w:rPr>
      </w:pPr>
      <w:r>
        <w:rPr>
          <w:rFonts w:hint="eastAsia" w:ascii="黑体" w:hAnsi="黑体" w:eastAsia="黑体"/>
          <w:sz w:val="32"/>
          <w:szCs w:val="32"/>
        </w:rPr>
        <w:t>顺势而为，长城水务公司应运而生</w:t>
      </w:r>
    </w:p>
    <w:p>
      <w:pPr>
        <w:spacing w:line="560" w:lineRule="exact"/>
        <w:ind w:firstLine="640" w:firstLineChars="200"/>
        <w:jc w:val="left"/>
        <w:rPr>
          <w:rFonts w:ascii="仿宋_GB2312" w:hAnsi="宋体" w:eastAsia="仿宋_GB2312" w:cs="Verdana"/>
          <w:sz w:val="32"/>
          <w:szCs w:val="32"/>
        </w:rPr>
      </w:pPr>
      <w:r>
        <w:rPr>
          <w:rFonts w:ascii="仿宋_GB2312" w:hAnsi="宋体" w:eastAsia="仿宋_GB2312" w:cs="Verdana"/>
          <w:sz w:val="32"/>
          <w:szCs w:val="32"/>
        </w:rPr>
        <w:t>为了解决上海庙能源化工基地</w:t>
      </w:r>
      <w:r>
        <w:rPr>
          <w:rFonts w:hint="eastAsia" w:ascii="仿宋_GB2312" w:hAnsi="宋体" w:eastAsia="仿宋_GB2312" w:cs="Verdana"/>
          <w:sz w:val="32"/>
          <w:szCs w:val="32"/>
        </w:rPr>
        <w:t>（现为上海庙经济开发区）和红墩子工业园区（现为银川滨河新区）的</w:t>
      </w:r>
      <w:r>
        <w:rPr>
          <w:rFonts w:ascii="仿宋_GB2312" w:hAnsi="宋体" w:eastAsia="仿宋_GB2312" w:cs="Verdana"/>
          <w:sz w:val="32"/>
          <w:szCs w:val="32"/>
        </w:rPr>
        <w:t>用水问题，</w:t>
      </w:r>
      <w:r>
        <w:rPr>
          <w:rFonts w:hint="eastAsia" w:ascii="仿宋_GB2312" w:hAnsi="宋体" w:eastAsia="仿宋_GB2312" w:cs="Verdana"/>
          <w:sz w:val="32"/>
          <w:szCs w:val="32"/>
        </w:rPr>
        <w:t>宁蒙两省区</w:t>
      </w:r>
      <w:r>
        <w:rPr>
          <w:rFonts w:ascii="仿宋_GB2312" w:hAnsi="宋体" w:eastAsia="仿宋_GB2312" w:cs="Verdana"/>
          <w:sz w:val="32"/>
          <w:szCs w:val="32"/>
        </w:rPr>
        <w:t>党委、政府</w:t>
      </w:r>
      <w:r>
        <w:rPr>
          <w:rFonts w:hint="eastAsia" w:ascii="仿宋_GB2312" w:hAnsi="宋体" w:eastAsia="仿宋_GB2312" w:cs="Verdana"/>
          <w:sz w:val="32"/>
          <w:szCs w:val="32"/>
        </w:rPr>
        <w:t>高度重视</w:t>
      </w:r>
      <w:r>
        <w:rPr>
          <w:rFonts w:ascii="仿宋_GB2312" w:hAnsi="宋体" w:eastAsia="仿宋_GB2312" w:cs="Verdana"/>
          <w:sz w:val="32"/>
          <w:szCs w:val="32"/>
        </w:rPr>
        <w:t>，自</w:t>
      </w:r>
      <w:r>
        <w:rPr>
          <w:rFonts w:hint="eastAsia" w:ascii="仿宋_GB2312" w:hAnsi="宋体" w:eastAsia="仿宋_GB2312" w:cs="Verdana"/>
          <w:sz w:val="32"/>
          <w:szCs w:val="32"/>
        </w:rPr>
        <w:t>2004年至2008年，宁蒙两省区就两个基地的用水问题提出了多个设计方案，开展了大量的考察、论证和前期准备工作。2009年11月宁夏回族自治区发改委主持召开会议，与内蒙古自治区就上海庙引黄供水工程方案等达成共识，形成了</w:t>
      </w:r>
      <w:r>
        <w:rPr>
          <w:rFonts w:hint="eastAsia" w:ascii="仿宋_GB2312" w:hAnsi="宋体" w:eastAsia="仿宋_GB2312"/>
          <w:sz w:val="32"/>
          <w:szCs w:val="32"/>
        </w:rPr>
        <w:t>《关于加强内蒙古上海庙能源化工基地与宁夏宁东能源基地建设合作的会谈纪要》，</w:t>
      </w:r>
      <w:r>
        <w:rPr>
          <w:rFonts w:ascii="仿宋_GB2312" w:hAnsi="宋体" w:eastAsia="仿宋_GB2312" w:cs="Verdana"/>
          <w:sz w:val="32"/>
          <w:szCs w:val="32"/>
        </w:rPr>
        <w:t>由此，</w:t>
      </w:r>
      <w:r>
        <w:rPr>
          <w:rFonts w:hint="eastAsia" w:ascii="仿宋_GB2312" w:hAnsi="宋体" w:eastAsia="仿宋_GB2312" w:cs="Verdana"/>
          <w:sz w:val="32"/>
          <w:szCs w:val="32"/>
        </w:rPr>
        <w:t>宁蒙两省区开始了这项两省经济社会发展战略合作的典范工程</w:t>
      </w:r>
      <w:r>
        <w:rPr>
          <w:rFonts w:ascii="仿宋_GB2312" w:hAnsi="宋体" w:eastAsia="仿宋_GB2312" w:cs="Verdana"/>
          <w:sz w:val="32"/>
          <w:szCs w:val="32"/>
        </w:rPr>
        <w:t>——</w:t>
      </w:r>
      <w:r>
        <w:rPr>
          <w:rFonts w:hint="eastAsia" w:ascii="仿宋_GB2312" w:hAnsi="宋体" w:eastAsia="仿宋_GB2312" w:cs="Verdana"/>
          <w:sz w:val="32"/>
          <w:szCs w:val="32"/>
        </w:rPr>
        <w:t>上海庙、红墩子能源化工基地供水</w:t>
      </w:r>
      <w:r>
        <w:rPr>
          <w:rFonts w:ascii="仿宋_GB2312" w:hAnsi="宋体" w:eastAsia="仿宋_GB2312" w:cs="Verdana"/>
          <w:sz w:val="32"/>
          <w:szCs w:val="32"/>
        </w:rPr>
        <w:t>工程。</w:t>
      </w:r>
    </w:p>
    <w:p>
      <w:pPr>
        <w:spacing w:line="560" w:lineRule="exact"/>
        <w:ind w:firstLine="640" w:firstLineChars="200"/>
        <w:rPr>
          <w:rFonts w:ascii="仿宋_GB2312" w:hAnsi="宋体" w:eastAsia="仿宋_GB2312"/>
          <w:sz w:val="32"/>
          <w:szCs w:val="32"/>
        </w:rPr>
      </w:pPr>
      <w:r>
        <w:rPr>
          <w:rFonts w:hint="eastAsia" w:ascii="仿宋_GB2312" w:hAnsi="宋体" w:eastAsia="仿宋_GB2312" w:cs="Verdana"/>
          <w:sz w:val="32"/>
          <w:szCs w:val="32"/>
        </w:rPr>
        <w:t>为促成供水工程早日实现服务宁蒙经济发展的目标，宁蒙两省区</w:t>
      </w:r>
      <w:r>
        <w:rPr>
          <w:rFonts w:ascii="仿宋_GB2312" w:hAnsi="宋体" w:eastAsia="仿宋_GB2312" w:cs="Verdana"/>
          <w:sz w:val="32"/>
          <w:szCs w:val="32"/>
        </w:rPr>
        <w:t>党委、政府</w:t>
      </w:r>
      <w:r>
        <w:rPr>
          <w:rFonts w:hint="eastAsia" w:ascii="仿宋_GB2312" w:hAnsi="宋体" w:eastAsia="仿宋_GB2312" w:cs="Verdana"/>
          <w:sz w:val="32"/>
          <w:szCs w:val="32"/>
        </w:rPr>
        <w:t>及宁夏水务投资集团三方付出了大量的心血，于2010年1月8日由鄂托克前旗人民政府与宁夏水务投资集团有限公司、鄂尔多斯市水务投资有限公司、宁夏宁东水务有限责任公司共同签订了《合作建设上海庙引黄供水工程协议》，至此，上海庙、红墩子能源化工基地供水</w:t>
      </w:r>
      <w:r>
        <w:rPr>
          <w:rFonts w:ascii="仿宋_GB2312" w:hAnsi="宋体" w:eastAsia="仿宋_GB2312" w:cs="Verdana"/>
          <w:sz w:val="32"/>
          <w:szCs w:val="32"/>
        </w:rPr>
        <w:t>工程</w:t>
      </w:r>
      <w:r>
        <w:rPr>
          <w:rFonts w:hint="eastAsia" w:ascii="仿宋_GB2312" w:hAnsi="宋体" w:eastAsia="仿宋_GB2312" w:cs="Verdana"/>
          <w:sz w:val="32"/>
          <w:szCs w:val="32"/>
        </w:rPr>
        <w:t>正式迈入建设步伐，宁夏长城水务有限责任公司也自此诞生。</w:t>
      </w:r>
      <w:r>
        <w:rPr>
          <w:rFonts w:hint="eastAsia" w:ascii="仿宋_GB2312" w:hAnsi="仿宋" w:eastAsia="仿宋_GB2312"/>
          <w:sz w:val="32"/>
          <w:szCs w:val="32"/>
        </w:rPr>
        <w:t>2010年3月，</w:t>
      </w:r>
      <w:r>
        <w:rPr>
          <w:rFonts w:hint="eastAsia" w:ascii="仿宋_GB2312" w:hAnsi="宋体" w:eastAsia="仿宋_GB2312"/>
          <w:sz w:val="32"/>
          <w:szCs w:val="32"/>
        </w:rPr>
        <w:t>经</w:t>
      </w:r>
      <w:r>
        <w:rPr>
          <w:rFonts w:ascii="仿宋_GB2312" w:hAnsi="宋体" w:eastAsia="仿宋_GB2312"/>
          <w:sz w:val="32"/>
          <w:szCs w:val="32"/>
        </w:rPr>
        <w:t>宁夏回族自治区国有资产监督管理委员会批准</w:t>
      </w:r>
      <w:r>
        <w:rPr>
          <w:rFonts w:hint="eastAsia" w:ascii="仿宋_GB2312" w:hAnsi="宋体" w:eastAsia="仿宋_GB2312"/>
          <w:sz w:val="32"/>
          <w:szCs w:val="32"/>
        </w:rPr>
        <w:t>，由宁夏水务投资集团有限公司、鄂尔多斯市水务投资公司、宁夏宁东水务有限责任公司三方按45：43：12的比例，</w:t>
      </w:r>
      <w:r>
        <w:rPr>
          <w:rFonts w:hint="eastAsia" w:ascii="仿宋_GB2312" w:hAnsi="仿宋" w:eastAsia="仿宋_GB2312"/>
          <w:sz w:val="32"/>
          <w:szCs w:val="32"/>
        </w:rPr>
        <w:t>以货币形式共同出资</w:t>
      </w:r>
      <w:r>
        <w:rPr>
          <w:rFonts w:hint="eastAsia" w:ascii="仿宋_GB2312" w:hAnsi="宋体" w:eastAsia="仿宋_GB2312"/>
          <w:sz w:val="32"/>
          <w:szCs w:val="32"/>
        </w:rPr>
        <w:t>组建了宁夏长城水务有限责任公司，负责上海庙、红墩子能源化工基地供水工程的投资、建设和运行管理。</w:t>
      </w:r>
    </w:p>
    <w:p>
      <w:pPr>
        <w:spacing w:line="560" w:lineRule="exact"/>
        <w:ind w:firstLine="640" w:firstLineChars="200"/>
        <w:rPr>
          <w:rFonts w:ascii="黑体" w:hAnsi="黑体" w:eastAsia="黑体"/>
          <w:sz w:val="32"/>
          <w:szCs w:val="32"/>
        </w:rPr>
      </w:pPr>
      <w:r>
        <w:rPr>
          <w:rFonts w:hint="eastAsia" w:ascii="黑体" w:hAnsi="黑体" w:eastAsia="黑体"/>
          <w:sz w:val="32"/>
          <w:szCs w:val="32"/>
        </w:rPr>
        <w:t>高位谋划，建成一流供水服务企业</w:t>
      </w:r>
    </w:p>
    <w:p>
      <w:pPr>
        <w:spacing w:line="560" w:lineRule="exact"/>
        <w:ind w:firstLine="640" w:firstLineChars="200"/>
        <w:rPr>
          <w:rFonts w:ascii="仿宋_GB2312" w:eastAsia="仿宋_GB2312"/>
          <w:kern w:val="0"/>
          <w:sz w:val="32"/>
          <w:szCs w:val="32"/>
          <w:lang w:val="zh-CN"/>
        </w:rPr>
      </w:pPr>
      <w:r>
        <w:rPr>
          <w:rFonts w:hint="eastAsia" w:ascii="仿宋_GB2312" w:eastAsia="仿宋_GB2312"/>
          <w:kern w:val="0"/>
          <w:sz w:val="32"/>
          <w:szCs w:val="32"/>
        </w:rPr>
        <w:t>上海庙、红墩子能源化工基地供水工程，是为内蒙古鄂尔多斯市上海庙工业园、宁夏银川市滨河新区红墩子工业园提供生产、生活及生态用水保障的基础性工</w:t>
      </w:r>
      <w:r>
        <w:rPr>
          <w:rFonts w:hint="eastAsia" w:ascii="仿宋_GB2312" w:eastAsia="仿宋_GB2312"/>
          <w:kern w:val="0"/>
          <w:sz w:val="32"/>
          <w:szCs w:val="32"/>
          <w:lang w:val="zh-CN"/>
        </w:rPr>
        <w:t>程，是关系宁蒙人民的福祉，关系宁蒙经济社会发展，也关系国家能源安全的重要基础设施。工程总投资6.4亿元，</w:t>
      </w:r>
      <w:r>
        <w:rPr>
          <w:rFonts w:hint="eastAsia" w:ascii="仿宋_GB2312" w:hAnsi="宋体" w:eastAsia="仿宋_GB2312"/>
          <w:sz w:val="32"/>
          <w:szCs w:val="32"/>
        </w:rPr>
        <w:t>一期设计规模为20万m</w:t>
      </w:r>
      <w:r>
        <w:rPr>
          <w:rFonts w:hint="eastAsia" w:ascii="仿宋_GB2312" w:hAnsi="宋体" w:eastAsia="仿宋_GB2312"/>
          <w:sz w:val="32"/>
          <w:szCs w:val="32"/>
          <w:vertAlign w:val="superscript"/>
        </w:rPr>
        <w:t>3</w:t>
      </w:r>
      <w:r>
        <w:rPr>
          <w:rFonts w:hint="eastAsia" w:ascii="仿宋_GB2312" w:hAnsi="宋体" w:eastAsia="仿宋_GB2312"/>
          <w:sz w:val="32"/>
          <w:szCs w:val="32"/>
        </w:rPr>
        <w:t>/d。</w:t>
      </w:r>
      <w:r>
        <w:rPr>
          <w:rFonts w:hint="eastAsia" w:ascii="仿宋_GB2312" w:eastAsia="仿宋_GB2312"/>
          <w:kern w:val="0"/>
          <w:sz w:val="32"/>
          <w:szCs w:val="32"/>
          <w:lang w:val="zh-CN"/>
        </w:rPr>
        <w:t>分为水源工程、净水工程和配水工程，于</w:t>
      </w:r>
      <w:r>
        <w:rPr>
          <w:rFonts w:ascii="仿宋_GB2312" w:eastAsia="仿宋_GB2312"/>
          <w:kern w:val="0"/>
          <w:sz w:val="32"/>
          <w:szCs w:val="32"/>
          <w:lang w:val="zh-CN"/>
        </w:rPr>
        <w:t>2</w:t>
      </w:r>
      <w:r>
        <w:rPr>
          <w:rFonts w:hint="eastAsia" w:ascii="仿宋_GB2312" w:eastAsia="仿宋_GB2312"/>
          <w:kern w:val="0"/>
          <w:sz w:val="32"/>
          <w:szCs w:val="32"/>
          <w:lang w:val="zh-CN"/>
        </w:rPr>
        <w:t>010年5月开工建设，2013年10月竣工验收。</w:t>
      </w:r>
    </w:p>
    <w:p>
      <w:pPr>
        <w:spacing w:line="560" w:lineRule="exact"/>
        <w:ind w:firstLine="640" w:firstLineChars="200"/>
        <w:rPr>
          <w:rFonts w:ascii="仿宋_GB2312" w:eastAsia="仿宋_GB2312"/>
          <w:kern w:val="0"/>
          <w:sz w:val="32"/>
          <w:szCs w:val="32"/>
          <w:lang w:val="zh-CN"/>
        </w:rPr>
      </w:pPr>
      <w:r>
        <w:rPr>
          <w:rFonts w:hint="eastAsia" w:ascii="仿宋_GB2312" w:eastAsia="仿宋_GB2312"/>
          <w:kern w:val="0"/>
          <w:sz w:val="32"/>
          <w:szCs w:val="32"/>
          <w:lang w:val="zh-CN"/>
        </w:rPr>
        <w:t>在工程建设过程中，宁夏长城水务有限责任公司瞄准整合国际国内最新水利科技成果，积极推广引进新设计、新技术、新工艺、新材料、新设备，加强重大技术问题攻关。为实现供水保障率达到97%的要求，广泛调研、科学论证，充分利用现有资源优化首部取水泵站；根据当地土料实际情况，采用低液限粘粒土筑坝，解决了水库筑坝土料不足的难题，创出了低液限粘粒土筑坝的新路子；坝体基础防渗充分考虑地形、地质因素，采用塑性混凝土防渗墙和帷幕灌浆相结合的防渗技术；根据原水低温低浊的特点选择“高密度絮凝沉淀池+翻板滤池”的组合水处理工艺；采用先进、高效的自动化控制系统，实现了“无人值守，少人值守”，提高了运行安全的可靠性；创新了工业供水多水源联合调度、区域联网供水等方面的管理模式，实现区域供水一体化管理。真正做到了供水工程“建设规范，设计优秀、施工先进，质量优良，运行可靠，效益显著”的特点，正是由于技术创新和管理突出，供水工程也因此被水利部授予“2013-2014年度中国水利工程优质（大禹）奖”，同时也得到了宁夏、内蒙古两区各级政府的一致好评。</w:t>
      </w:r>
    </w:p>
    <w:p>
      <w:pPr>
        <w:spacing w:line="560" w:lineRule="exact"/>
        <w:ind w:firstLine="640" w:firstLineChars="200"/>
        <w:rPr>
          <w:rFonts w:ascii="黑体" w:hAnsi="黑体" w:eastAsia="黑体"/>
          <w:sz w:val="32"/>
          <w:szCs w:val="32"/>
        </w:rPr>
      </w:pPr>
      <w:r>
        <w:rPr>
          <w:rFonts w:hint="eastAsia" w:ascii="黑体" w:hAnsi="黑体" w:eastAsia="黑体"/>
          <w:sz w:val="32"/>
          <w:szCs w:val="32"/>
        </w:rPr>
        <w:t>精益管理，保障宁蒙区域经济发展</w:t>
      </w:r>
    </w:p>
    <w:p>
      <w:pPr>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供水工程自2011年6月投入试运行以来，公司认真分析供水市场，科学制定运行方案，紧紧围绕供水工程建设和生产运营任务，团结协作、奋力拼搏、科学组织、严格管理，高效完成了由工程建设转为生产运营时期的各项工作任务。</w:t>
      </w:r>
    </w:p>
    <w:p>
      <w:pPr>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2011年，公司供水工程具备供水条件，办公生活设施具备使用条件，当年完成收入1000万元。</w:t>
      </w:r>
    </w:p>
    <w:p>
      <w:pPr>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2012年，水源工程、净水工程全面完工，进入工程验收阶段，向红墩子-上海庙能源化工基地供水目标按期实现。联网供水工程正式运行，公司进入试运行阶段。当年完成供水651万方，实现收入1557.73万元。</w:t>
      </w:r>
    </w:p>
    <w:p>
      <w:pPr>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2013年，公司顺利通过了工程竣工验收，工程质量达到优良标准，供水工程正式转入运营阶段。当年完成供水1450万方，实现收入5070万元。</w:t>
      </w:r>
    </w:p>
    <w:p>
      <w:pPr>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2014年，公司加强内部管理，细化成本控制，逐步建立企业高效运行的良好机制。当年完成</w:t>
      </w:r>
      <w:r>
        <w:rPr>
          <w:rFonts w:ascii="仿宋_GB2312" w:eastAsia="仿宋_GB2312"/>
          <w:kern w:val="0"/>
          <w:sz w:val="32"/>
          <w:szCs w:val="32"/>
        </w:rPr>
        <w:t>供水1742万方，实现收入5073万元。</w:t>
      </w:r>
    </w:p>
    <w:p>
      <w:pPr>
        <w:spacing w:line="560" w:lineRule="exact"/>
        <w:ind w:firstLine="640" w:firstLineChars="200"/>
        <w:rPr>
          <w:rFonts w:ascii="仿宋_GB2312" w:eastAsia="仿宋_GB2312"/>
          <w:kern w:val="0"/>
          <w:sz w:val="32"/>
          <w:szCs w:val="32"/>
        </w:rPr>
      </w:pPr>
      <w:r>
        <w:rPr>
          <w:rFonts w:ascii="仿宋_GB2312" w:eastAsia="仿宋_GB2312"/>
          <w:kern w:val="0"/>
          <w:sz w:val="32"/>
          <w:szCs w:val="32"/>
        </w:rPr>
        <w:t>2015年，公司围绕供水主业，开展安全标准化建设夯实安全管理基础，实施</w:t>
      </w:r>
      <w:r>
        <w:rPr>
          <w:rFonts w:hint="eastAsia" w:ascii="仿宋_GB2312" w:eastAsia="仿宋_GB2312"/>
          <w:kern w:val="0"/>
          <w:sz w:val="32"/>
          <w:szCs w:val="32"/>
        </w:rPr>
        <w:t>宁东临河综合工业园及上海庙能源化工基地应急水源工程，实现长城水厂供水管网系统与宁东水厂供水管网系统的第二次联网，双水源互为备用，有效保障宁蒙区域经济发展的供水安全。当年完成供水1477万方，实现收入4506万元。</w:t>
      </w:r>
    </w:p>
    <w:p>
      <w:pPr>
        <w:spacing w:line="560" w:lineRule="exact"/>
        <w:ind w:firstLine="640" w:firstLineChars="200"/>
        <w:rPr>
          <w:rFonts w:ascii="仿宋_GB2312" w:eastAsia="仿宋_GB2312"/>
          <w:kern w:val="0"/>
          <w:sz w:val="32"/>
          <w:szCs w:val="32"/>
        </w:rPr>
      </w:pPr>
      <w:r>
        <w:rPr>
          <w:rFonts w:ascii="仿宋_GB2312" w:eastAsia="仿宋_GB2312"/>
          <w:kern w:val="0"/>
          <w:sz w:val="32"/>
          <w:szCs w:val="32"/>
        </w:rPr>
        <w:t>2016年，公司</w:t>
      </w:r>
      <w:r>
        <w:rPr>
          <w:rFonts w:hint="eastAsia" w:ascii="仿宋_GB2312" w:eastAsia="仿宋_GB2312"/>
          <w:kern w:val="0"/>
          <w:sz w:val="32"/>
          <w:szCs w:val="32"/>
        </w:rPr>
        <w:t>以夯实安全基础为保障，以做大做强做优供水主业为目标，运营管理水平显著提升，供水市场稳步拓展，安全生产标准化建设通过二级达标，公司成功实现了扭亏为盈。当年完成供水3032万方，实现收入8747万元，实现利润1852万元。</w:t>
      </w:r>
    </w:p>
    <w:p>
      <w:pPr>
        <w:spacing w:line="560" w:lineRule="exact"/>
        <w:ind w:firstLine="640" w:firstLineChars="200"/>
        <w:rPr>
          <w:rFonts w:ascii="仿宋_GB2312" w:eastAsia="仿宋_GB2312"/>
          <w:kern w:val="0"/>
          <w:sz w:val="32"/>
          <w:szCs w:val="32"/>
        </w:rPr>
      </w:pPr>
      <w:r>
        <w:rPr>
          <w:rFonts w:ascii="仿宋_GB2312" w:eastAsia="仿宋_GB2312"/>
          <w:kern w:val="0"/>
          <w:sz w:val="32"/>
          <w:szCs w:val="32"/>
        </w:rPr>
        <w:t>2017年，公司坚持</w:t>
      </w:r>
      <w:r>
        <w:rPr>
          <w:rFonts w:hint="eastAsia" w:ascii="仿宋_GB2312" w:eastAsia="仿宋_GB2312"/>
          <w:kern w:val="0"/>
          <w:sz w:val="32"/>
          <w:szCs w:val="32"/>
        </w:rPr>
        <w:t>做好供水保障服务，持续拓展供水市场，进一步夯实安全基础，启动供水工程二期，做优多元产业发展，有力提升经营管理水平。截止10月底，公司完成供水3237万吨，实现收入9408万元。</w:t>
      </w:r>
    </w:p>
    <w:p>
      <w:pPr>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当前，随着国家“十三五”规划的稳步推进，产业政策的调整，红墩子工业园已升格为国家级银川滨河新区新区和内陆开放型经济试验区，高起点、高标准规划建设的生态城、文化城、旅游城、产业城“四城”建设如火如荼推进。上海庙能源化工基地也升级为</w:t>
      </w:r>
      <w:r>
        <w:rPr>
          <w:rFonts w:ascii="仿宋_GB2312" w:eastAsia="仿宋_GB2312"/>
          <w:kern w:val="0"/>
          <w:sz w:val="32"/>
          <w:szCs w:val="32"/>
        </w:rPr>
        <w:t>国家级生态工业示范园区</w:t>
      </w:r>
      <w:r>
        <w:rPr>
          <w:rFonts w:hint="eastAsia" w:ascii="仿宋_GB2312" w:eastAsia="仿宋_GB2312"/>
          <w:kern w:val="0"/>
          <w:sz w:val="32"/>
          <w:szCs w:val="32"/>
        </w:rPr>
        <w:t>，“以煤炭为基础、煤电为支撑、煤化工为主导”的循环经济产业格局也初步形成。宁东能源化工基地、宝丰工业园也都致力于打造能源循环经济产业基地。</w:t>
      </w:r>
    </w:p>
    <w:p>
      <w:pPr>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当前，长城水务公司也进入了科学稳定的发展期，银川滨河新区水务一体化稳步推进，灵武临港产业园供水项目前期工作有序对接，四大产业基地供水持续稳定，供水二期工程顺利推进，银川河东区域供水的大格局正逐步显现。公司将抢抓新时期经济稳步发展的有利机遇，全体员工精诚团结、无私奉献、锐意进取，有信心、有能力将公司打造经济指标优、社会效益好的现代化水务企业，做好宁夏水利对外的窗口形象，为宁蒙区域积极发展做出积极贡献，为推动积极机构优化升级做出贡献，为宁蒙两区跨越式发展做出贡献。</w:t>
      </w:r>
    </w:p>
    <w:p>
      <w:pPr>
        <w:spacing w:line="560" w:lineRule="exact"/>
        <w:ind w:firstLine="640" w:firstLineChars="200"/>
        <w:rPr>
          <w:rFonts w:ascii="黑体" w:hAnsi="黑体" w:eastAsia="黑体"/>
          <w:sz w:val="32"/>
          <w:szCs w:val="32"/>
        </w:rPr>
      </w:pPr>
      <w:r>
        <w:rPr>
          <w:rFonts w:hint="eastAsia" w:ascii="黑体" w:hAnsi="黑体" w:eastAsia="黑体"/>
          <w:sz w:val="32"/>
          <w:szCs w:val="32"/>
        </w:rPr>
        <w:t>以人为本，党的建设助推企业发展</w:t>
      </w:r>
    </w:p>
    <w:p>
      <w:pPr>
        <w:spacing w:line="560" w:lineRule="exact"/>
        <w:ind w:firstLine="640" w:firstLineChars="200"/>
        <w:rPr>
          <w:rFonts w:ascii="仿宋_GB2312" w:eastAsia="仿宋_GB2312"/>
          <w:kern w:val="0"/>
          <w:sz w:val="32"/>
          <w:szCs w:val="32"/>
        </w:rPr>
      </w:pPr>
      <w:r>
        <w:rPr>
          <w:rFonts w:hint="eastAsia" w:ascii="仿宋_GB2312" w:eastAsia="仿宋_GB2312"/>
          <w:sz w:val="32"/>
          <w:szCs w:val="32"/>
        </w:rPr>
        <w:t>公司坚持“业务工作开展到哪里，党组织的管理就跟进到哪里”，在公司成立之初及时成立了党的基层组织，同时在2014年升格为党总支。公司党总支在上级党委的领导下，认真学习贯彻党中央的重大会议精神、习近平总书记系列讲话、习近平新时代中国特色社会主义思想等重要内容，认真落实上级党委的决策部署，坚持党要管党、从严治党的主线，以服务公司稳定发展为根本，全面落实党建工作责任，扎实开展了党的群众路线教育实践、</w:t>
      </w:r>
      <w:r>
        <w:rPr>
          <w:rFonts w:hint="eastAsia" w:ascii="仿宋_GB2312" w:hAnsi="宋体" w:eastAsia="仿宋_GB2312" w:cs="Times New Roman"/>
          <w:sz w:val="32"/>
          <w:szCs w:val="32"/>
        </w:rPr>
        <w:t>“创先争优”主题教育、</w:t>
      </w:r>
      <w:r>
        <w:rPr>
          <w:rFonts w:hint="eastAsia" w:ascii="仿宋_GB2312" w:eastAsia="仿宋_GB2312"/>
          <w:sz w:val="32"/>
          <w:szCs w:val="32"/>
        </w:rPr>
        <w:t>“三严三实”主题教育、“两学一做”学习教育等系列活动，</w:t>
      </w:r>
      <w:r>
        <w:rPr>
          <w:rFonts w:hint="eastAsia" w:ascii="仿宋_GB2312" w:eastAsia="仿宋_GB2312"/>
          <w:kern w:val="0"/>
          <w:sz w:val="32"/>
          <w:szCs w:val="32"/>
        </w:rPr>
        <w:t>公司党的建设得到进一步加强，思想政治建设不断得到进一步提高，党风廉政建设“两个责任”得到进一步落实，基层组织和党员队伍建设水平进一步提高，群团组织作用得到进一步发挥，党组织的领导核心和政治核心作用得到充分发挥，为实现公司的快速稳步发展提供了坚强的政治保证和组织保证。</w:t>
      </w:r>
    </w:p>
    <w:p>
      <w:pPr>
        <w:spacing w:line="560" w:lineRule="exact"/>
        <w:ind w:firstLine="640" w:firstLineChars="200"/>
        <w:rPr>
          <w:rFonts w:ascii="仿宋_GB2312" w:eastAsia="仿宋_GB2312"/>
          <w:kern w:val="0"/>
          <w:sz w:val="32"/>
          <w:szCs w:val="32"/>
        </w:rPr>
      </w:pPr>
    </w:p>
    <w:p>
      <w:pPr>
        <w:spacing w:line="560" w:lineRule="exact"/>
        <w:ind w:firstLine="640" w:firstLineChars="200"/>
        <w:rPr>
          <w:rFonts w:ascii="仿宋_GB2312" w:eastAsia="仿宋_GB2312"/>
          <w:sz w:val="32"/>
          <w:szCs w:val="32"/>
        </w:rPr>
      </w:pPr>
      <w:r>
        <w:rPr>
          <w:rFonts w:hint="eastAsia" w:ascii="仿宋_GB2312" w:eastAsia="仿宋_GB2312"/>
          <w:sz w:val="32"/>
          <w:szCs w:val="32"/>
        </w:rPr>
        <w:t>风正潮涌，自当扬帆破浪；任重道远，更须策马扬鞭。新的机遇孕育着新的希望，新的蓝图激励着新的梦想。宁夏长城水务有限责任公司站在新的区域经济发展蓝图中心，必将不忘初心，砥砺前行，为现代化的银川滨河新区、上海庙经济开发区、宁东能源化工基地和宝丰能源循环经济工业基地提供高效的供水保障服务，为宁蒙经济社会发展和人民生产生活改善做出更大的贡献。</w:t>
      </w:r>
      <w:bookmarkStart w:id="0" w:name="_GoBack"/>
      <w:bookmarkEnd w:id="0"/>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altName w:val="微软雅黑"/>
    <w:panose1 w:val="02010601030101010101"/>
    <w:charset w:val="86"/>
    <w:family w:val="auto"/>
    <w:pitch w:val="default"/>
    <w:sig w:usb0="00000001" w:usb1="080E0000" w:usb2="0000001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pP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B3D3A"/>
    <w:rsid w:val="00013386"/>
    <w:rsid w:val="000222A7"/>
    <w:rsid w:val="00032D13"/>
    <w:rsid w:val="00075256"/>
    <w:rsid w:val="000B2A74"/>
    <w:rsid w:val="000B7505"/>
    <w:rsid w:val="000D2914"/>
    <w:rsid w:val="000D5AC9"/>
    <w:rsid w:val="0017540C"/>
    <w:rsid w:val="0018579C"/>
    <w:rsid w:val="001E1A1E"/>
    <w:rsid w:val="002008D0"/>
    <w:rsid w:val="00230BDF"/>
    <w:rsid w:val="002A6276"/>
    <w:rsid w:val="002A7812"/>
    <w:rsid w:val="0030785F"/>
    <w:rsid w:val="00430B35"/>
    <w:rsid w:val="004605D0"/>
    <w:rsid w:val="00493584"/>
    <w:rsid w:val="00512CBB"/>
    <w:rsid w:val="00550348"/>
    <w:rsid w:val="00552C04"/>
    <w:rsid w:val="006572C4"/>
    <w:rsid w:val="00684024"/>
    <w:rsid w:val="006D74BB"/>
    <w:rsid w:val="006F296E"/>
    <w:rsid w:val="0075007E"/>
    <w:rsid w:val="00753EBE"/>
    <w:rsid w:val="00793C3D"/>
    <w:rsid w:val="007E3A13"/>
    <w:rsid w:val="007F597E"/>
    <w:rsid w:val="0080054E"/>
    <w:rsid w:val="00877A15"/>
    <w:rsid w:val="00877C64"/>
    <w:rsid w:val="00885454"/>
    <w:rsid w:val="00920259"/>
    <w:rsid w:val="009307BB"/>
    <w:rsid w:val="00934378"/>
    <w:rsid w:val="00A5550B"/>
    <w:rsid w:val="00B2072B"/>
    <w:rsid w:val="00B23857"/>
    <w:rsid w:val="00BA6B62"/>
    <w:rsid w:val="00BC1434"/>
    <w:rsid w:val="00BF750E"/>
    <w:rsid w:val="00C21AF4"/>
    <w:rsid w:val="00C96A6C"/>
    <w:rsid w:val="00D400A4"/>
    <w:rsid w:val="00D56448"/>
    <w:rsid w:val="00D85E6A"/>
    <w:rsid w:val="00D87934"/>
    <w:rsid w:val="00DB3D3A"/>
    <w:rsid w:val="00DC4AB2"/>
    <w:rsid w:val="00DC5317"/>
    <w:rsid w:val="00DC5A05"/>
    <w:rsid w:val="00DF4468"/>
    <w:rsid w:val="00E17F04"/>
    <w:rsid w:val="00E22F1C"/>
    <w:rsid w:val="00E40E58"/>
    <w:rsid w:val="00E72089"/>
    <w:rsid w:val="00E93359"/>
    <w:rsid w:val="00EB289A"/>
    <w:rsid w:val="00F57458"/>
    <w:rsid w:val="00FC703D"/>
    <w:rsid w:val="00FD3621"/>
    <w:rsid w:val="00FE77A1"/>
    <w:rsid w:val="00FE7F08"/>
    <w:rsid w:val="41EB6337"/>
    <w:rsid w:val="6C10183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Date"/>
    <w:basedOn w:val="1"/>
    <w:next w:val="1"/>
    <w:link w:val="7"/>
    <w:unhideWhenUsed/>
    <w:uiPriority w:val="99"/>
    <w:pPr>
      <w:ind w:left="100" w:leftChars="2500"/>
    </w:p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日期 Char"/>
    <w:basedOn w:val="5"/>
    <w:link w:val="2"/>
    <w:semiHidden/>
    <w:uiPriority w:val="99"/>
    <w:rPr/>
  </w:style>
  <w:style w:type="character" w:customStyle="1" w:styleId="8">
    <w:name w:val="页眉 Char"/>
    <w:basedOn w:val="5"/>
    <w:link w:val="4"/>
    <w:semiHidden/>
    <w:uiPriority w:val="99"/>
    <w:rPr>
      <w:sz w:val="18"/>
      <w:szCs w:val="18"/>
    </w:rPr>
  </w:style>
  <w:style w:type="character" w:customStyle="1" w:styleId="9">
    <w:name w:val="页脚 Char"/>
    <w:basedOn w:val="5"/>
    <w:link w:val="3"/>
    <w:uiPriority w:val="99"/>
    <w:rPr>
      <w:sz w:val="18"/>
      <w:szCs w:val="18"/>
    </w:rPr>
  </w:style>
  <w:style w:type="character" w:customStyle="1" w:styleId="10">
    <w:name w:val="正文文本缩进 2 Char"/>
    <w:basedOn w:val="5"/>
    <w:uiPriority w:val="0"/>
    <w:rPr>
      <w:rFonts w:hint="eastAsia" w:ascii="仿宋_GB2312" w:eastAsia="仿宋_GB2312"/>
      <w:kern w:val="2"/>
      <w:sz w:val="32"/>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577</Words>
  <Characters>3292</Characters>
  <Lines>27</Lines>
  <Paragraphs>7</Paragraphs>
  <TotalTime>0</TotalTime>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2017-11-26T08:17:00Z</dcterms:created>
  <dc:creator>Administrator</dc:creator>
  <cp:lastModifiedBy>Z</cp:lastModifiedBy>
  <dcterms:modified xsi:type="dcterms:W3CDTF">2017-12-11T06:16:22Z</dcterms:modified>
  <dc:title>不忘初心锐意进取谱华章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