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General and Pharmacokinetic Properties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 xml:space="preserve"> a chiral molecule?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degree of chirality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Is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 xml:space="preserve"> racemic or enantiomeric?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structure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molecular weight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density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 xml:space="preserve">? 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solubility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chemical stability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are the ADME properties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 </w:t>
      </w:r>
    </w:p>
    <w:p w:rsidR="000B79E5" w:rsidRDefault="000B79E5" w:rsidP="000B79E5">
      <w:pPr>
        <w:pStyle w:val="11"/>
        <w:spacing w:line="360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Acquisition of Optical Spectral Information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molar absorption coefficient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fluorescence quantum yield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What is the secondary structure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?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absorbance spectrum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fluorescence spectrum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.</w:t>
      </w:r>
    </w:p>
    <w:p w:rsidR="000B79E5" w:rsidRDefault="000B79E5" w:rsidP="000B79E5">
      <w:pPr>
        <w:pStyle w:val="1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Please plot the circular dichroism spectrum of </w:t>
      </w:r>
      <w:r w:rsidR="000E5B84">
        <w:rPr>
          <w:rFonts w:ascii="Arial" w:eastAsia="Aptos" w:hAnsi="Arial" w:cs="Arial"/>
          <w:highlight w:val="yellow"/>
        </w:rPr>
        <w:t>serine</w:t>
      </w:r>
      <w:r>
        <w:rPr>
          <w:rFonts w:ascii="Arial" w:eastAsia="Aptos" w:hAnsi="Arial" w:cs="Arial"/>
        </w:rPr>
        <w:t>.</w:t>
      </w:r>
    </w:p>
    <w:p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2777C"/>
    <w:multiLevelType w:val="multilevel"/>
    <w:tmpl w:val="541AD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C824C4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0C53D9"/>
    <w:rsid w:val="000E5B84"/>
    <w:rsid w:val="0020579B"/>
    <w:rsid w:val="0040085F"/>
    <w:rsid w:val="00556D2B"/>
    <w:rsid w:val="006A19EF"/>
    <w:rsid w:val="007537DE"/>
    <w:rsid w:val="007D621A"/>
    <w:rsid w:val="007E2EF7"/>
    <w:rsid w:val="008368FB"/>
    <w:rsid w:val="00A0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9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9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1">
    <w:name w:val="无间隔1"/>
    <w:basedOn w:val="a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3</cp:revision>
  <dcterms:created xsi:type="dcterms:W3CDTF">2025-01-14T19:44:00Z</dcterms:created>
  <dcterms:modified xsi:type="dcterms:W3CDTF">2025-01-14T19:45:00Z</dcterms:modified>
</cp:coreProperties>
</file>