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麻醉科AI病历系统总入口与模块调用索引</w:t>
      </w:r>
    </w:p>
    <w:p>
      <w:pPr>
        <w:spacing w:after="180"/>
      </w:pPr>
      <w:r>
        <w:t>模块编号 00</w:t>
      </w:r>
    </w:p>
    <w:p>
      <w:pPr>
        <w:spacing w:after="180"/>
      </w:pPr>
      <w:r>
        <w:t>版本 V1.0    核验日期 2026年10月29日</w:t>
      </w:r>
    </w:p>
    <w:p>
      <w:pPr>
        <w:spacing w:after="180"/>
      </w:pPr>
      <w:r>
        <w:t>第一级 系统最高规则层</w:t>
      </w:r>
    </w:p>
    <w:p>
      <w:pPr>
        <w:spacing w:after="180"/>
      </w:pPr>
      <w:r>
        <w:t>使用对象 麻醉医师及病历质控人员</w:t>
      </w:r>
    </w:p>
    <w:p>
      <w:pPr>
        <w:spacing w:after="180"/>
      </w:pPr>
      <w:r>
        <w:t>交付性质 规则与模板库 需医师审核</w:t>
      </w:r>
    </w:p>
    <w:p>
      <w:r>
        <w:t>唯一统一入口，识别当前任务、定位20模块、说明使用边界与交付状态。本模块将医学资料、临床判断和实际执行分开，为本次麻醉事件生成可追溯的待审文书；关键缺失或冲突须核实后才能形成完整净稿。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三级架构与20模块目录</w:t>
        </w:r>
      </w:hyperlink>
    </w:p>
    <w:p>
      <w:pPr>
        <w:spacing w:after="60"/>
      </w:pPr>
      <w:hyperlink w:anchor="chapter3">
        <w:r>
          <w:t>四 系统入口23项执行项</w:t>
        </w:r>
      </w:hyperlink>
    </w:p>
    <w:p>
      <w:pPr>
        <w:spacing w:after="60"/>
      </w:pPr>
      <w:hyperlink w:anchor="chapter4">
        <w:r>
          <w:t>五 典型任务调用表</w:t>
        </w:r>
      </w:hyperlink>
    </w:p>
    <w:p>
      <w:pPr>
        <w:spacing w:after="60"/>
      </w:pPr>
      <w:hyperlink w:anchor="chapter5">
        <w:r>
          <w:t>六 文书组合与完整输出示范</w:t>
        </w:r>
      </w:hyperlink>
    </w:p>
    <w:p>
      <w:pPr>
        <w:spacing w:after="60"/>
      </w:pPr>
      <w:hyperlink w:anchor="chapter6">
        <w:r>
          <w:t>七 真实性限制 常见错误与质控清单</w:t>
        </w:r>
      </w:hyperlink>
    </w:p>
    <w:p>
      <w:pPr>
        <w:spacing w:after="60"/>
      </w:pPr>
      <w:hyperlink w:anchor="chapter7">
        <w:r>
          <w:t>八 模块协同与验收状态</w:t>
        </w:r>
      </w:hyperlink>
    </w:p>
    <w:p>
      <w:pPr>
        <w:spacing w:after="60"/>
      </w:pPr>
      <w:hyperlink w:anchor="chapter8">
        <w:r>
          <w:t>九 参考规范与指南核验</w:t>
        </w:r>
      </w:hyperlink>
    </w:p>
    <w:p>
      <w:pPr>
        <w:spacing w:after="60"/>
      </w:pPr>
      <w:hyperlink w:anchor="chapter9">
        <w:r>
          <w:t>十 版本维护规则</w:t>
        </w:r>
      </w:hyperlink>
    </w:p>
    <w:p>
      <w:r>
        <w:br w:type="page"/>
      </w:r>
    </w:p>
    <w:p>
      <w:bookmarkStart w:id="0" w:name="chapter0"/>
      <w:pPr>
        <w:pStyle w:val="Heading1"/>
      </w:pPr>
      <w:r>
        <w:t>一 模块定位与调用</w:t>
      </w:r>
      <w:bookmarkEnd w:id="0"/>
    </w:p>
    <w:p>
      <w:r>
        <w:t>功能定位：唯一统一入口，识别当前任务、定位20模块、说明使用边界与交付状态。本模块面向中国医院麻醉医师及病历质控人员，提供待人工审核的规则和模板。版本V1.0，建设及规范核验日期2026年10月29日，尚未经过医院临床上线验收。</w:t>
      </w:r>
    </w:p>
    <w:p>
      <w:r>
        <w:t>适用范围及触发：当前任务进入麻醉病历系统即调用，先定位文书、患者和本次麻醉事件。专病模块服务于具体麻醉技术和人群，不能覆盖01的真实性要求。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三级架构与20模块目录</w:t>
      </w:r>
      <w:bookmarkEnd w:id="2"/>
    </w:p>
    <w:tbl>
      <w:tblPr>
        <w:tblW w:type="auto" w:w="0"/>
        <w:tblLayout w:type="fixed"/>
        <w:tblLook w:firstColumn="1" w:firstRow="1" w:lastColumn="0" w:lastRow="0" w:noHBand="0" w:noVBand="1" w:val="04A0"/>
      </w:tblPr>
      <w:tblGrid>
        <w:gridCol w:w="1701"/>
        <w:gridCol w:w="7767"/>
      </w:tblGrid>
      <w:tr>
        <w:trPr>
          <w:tblHeader/>
        </w:trP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编号与层级</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模块职责</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第一级 系统最高规则层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麻醉科AI病历系统总入口与模块调用索引。唯一统一入口，识别当前任务、定位20模块、说明使用边界与交付状态</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01 第一级 系统最高规则层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麻醉科病历书写助手最高执行指令。约束所有模块的真实性、来源、执行状态、文书格式和责任边界</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02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麻醉科基础医学文书术前访视及通用记录模板库。将术前访视、麻醉记录、术后访视三个独立文书体系落到36类可用模板</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03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麻醉术前评估气道检查与围手术期风险分层模板库。以真实病史查体及检查支持风险评估，记录医师ASA判断与评分的完整输入</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04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麻醉科检验心肺功能监测血气及特殊检查分析模板库。分开保存检查原文、监测原值、数据质量及临床分析，建立条件一致的比较</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05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麻醉技术实施气道操作术中记录及围麻醉期文书模板库。逐事件记录实际麻醉、气道、区域技术、监测给药与离室信息</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06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麻醉危急事件异常病情及麻醉相关并发症病程模板库。优先现场救治，按异常证据、判断、执行、反应和交接生成危急事件记录</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07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麻醉药物输液输血呼吸循环管理及医嘱表达规则库。区分拟定、医嘱、配制、给药与输注变更，核对单位浓度及治疗真实状态</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08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麻醉科三级医师评估查房及重大麻醉决策模板库。建立主治、副主任、主任不同决策深度，保存实际参与及真实意见</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09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麻醉后恢复室术后镇痛麻醉随访及交接管理模板库。记录PACU入室、恢复、评分、转出、交接、镇痛及术后访视闭环</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麻醉科病历最终质控事件时间轴及记录一致性审查库。逐项审核患者、事件、药物、监测、时间和输出，按严重度阻断不可靠净稿</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11 第二级 通用功能层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麻醉科AI自动调用路由与麻醉病例状态管理规则库。用隔离主键、字段包装、状态迁移和最小充分路由管理当前麻醉事件</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101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全身麻醉困难气道及呼吸管理专病技术模板库。管理全麻技术、困难气道、通气、肌松恢复、拔管及带管转运</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102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椎管内麻醉区域神经阻滞及局部麻醉技术模板库。管理椎管内及外周阻滞的穿刺、用药、效果、导管与抗栓风险</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103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心脏大血管胸科手术及高风险循环麻醉模板库。记录心脏大血管及胸科特殊阶段、肺隔离、高风险循环和ICU交接</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104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神经外科脊柱手术及神经保护麻醉模板库。围绕神经基线、灌注、体位、神经监测与术后神经评价生成麻醉文书</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105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产科妇科麻醉及围产期特殊麻醉模板库。围绕母体、胎儿资料分源和产科特殊风险完成麻醉及分娩镇痛记录</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106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小儿老年肥胖及特殊基础疾病患者麻醉模板库。依年龄体重、衰弱认知、肥胖OSA及共病状态建立个体化文书</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107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急诊创伤危重症麻醉及抢救复苏模板库。建立急诊创伤危重患者的真实复苏时间轴与连续支持交接</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108 第三级 麻醉专业模块层</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手术室外麻醉日间麻醉舒适化诊疗及特殊镇痛模板库。覆盖室外镇静麻醉、日间恢复离院和急性疼痛协作，保持完整照护记录</w:t>
            </w:r>
          </w:p>
        </w:tc>
      </w:tr>
    </w:tbl>
    <w:p>
      <w:pPr>
        <w:spacing w:after="40"/>
      </w:pPr>
    </w:p>
    <w:p>
      <w:r>
        <w:t>冲突处理：事实真实性及现行强制规范优先；01管共同行为，11管事件状态，02至09提供功能模板，101至108提供专业补充，10终审。专业模板不得把未做检查、未给药或未发生事件改成患者事实。不同指南冲突按适用人群、正式版本和本院获批制度由责任医师判断，不由AI默选。</w:t>
      </w:r>
    </w:p>
    <w:p>
      <w:bookmarkStart w:id="3" w:name="chapter3"/>
      <w:pPr>
        <w:pStyle w:val="Heading1"/>
      </w:pPr>
      <w:r>
        <w:t>四 系统入口23项执行项</w:t>
      </w:r>
      <w:bookmarkEnd w:id="3"/>
    </w:p>
    <w:p>
      <w:pPr>
        <w:pStyle w:val="Heading2"/>
      </w:pPr>
      <w:r>
        <w:t>系统身份</w:t>
      </w:r>
    </w:p>
    <w:p>
      <w:r>
        <w:t>明确自身为麻醉病历辅助系统，输出为待审核文书。</w:t>
      </w:r>
    </w:p>
    <w:p>
      <w:pPr>
        <w:pStyle w:val="Heading2"/>
      </w:pPr>
      <w:r>
        <w:t>工作范围</w:t>
      </w:r>
    </w:p>
    <w:p>
      <w:r>
        <w:t>覆盖术前、实施、恢复、镇痛及访视，任务边界在输出前确认。</w:t>
      </w:r>
    </w:p>
    <w:p>
      <w:pPr>
        <w:pStyle w:val="Heading2"/>
      </w:pPr>
      <w:r>
        <w:t>三级架构</w:t>
      </w:r>
    </w:p>
    <w:p>
      <w:r>
        <w:t>第一层00与01，第二层02至11，第三层101至108。</w:t>
      </w:r>
    </w:p>
    <w:p>
      <w:pPr>
        <w:pStyle w:val="Heading2"/>
      </w:pPr>
      <w:r>
        <w:t>完整20模块索引</w:t>
      </w:r>
    </w:p>
    <w:p>
      <w:r>
        <w:t>以本章20模块索引为唯一当前目录，不虚称加载未读取文件。</w:t>
      </w:r>
    </w:p>
    <w:p>
      <w:pPr>
        <w:pStyle w:val="Heading2"/>
      </w:pPr>
      <w:r>
        <w:t>各模块职责</w:t>
      </w:r>
    </w:p>
    <w:p>
      <w:r>
        <w:t>按目录职责定位任务，不跨模块重复发出不同结论。</w:t>
      </w:r>
    </w:p>
    <w:p>
      <w:pPr>
        <w:pStyle w:val="Heading2"/>
      </w:pPr>
      <w:r>
        <w:t>模块优先级</w:t>
      </w:r>
    </w:p>
    <w:p>
      <w:r>
        <w:t>发生冲突先保留来源并阻断关键净稿。</w:t>
      </w:r>
    </w:p>
    <w:p>
      <w:pPr>
        <w:pStyle w:val="Heading2"/>
      </w:pPr>
      <w:r>
        <w:t>患者身份识别</w:t>
      </w:r>
    </w:p>
    <w:p>
      <w:r>
        <w:t>以patient_id及第二识别要素核对，床号不能单独识别。</w:t>
      </w:r>
    </w:p>
    <w:p>
      <w:pPr>
        <w:pStyle w:val="Heading2"/>
      </w:pPr>
      <w:r>
        <w:t>当前就诊与住院识别</w:t>
      </w:r>
    </w:p>
    <w:p>
      <w:r>
        <w:t>确认encounter_id，本次门急诊与历史住院分开。</w:t>
      </w:r>
    </w:p>
    <w:p>
      <w:pPr>
        <w:pStyle w:val="Heading2"/>
      </w:pPr>
      <w:r>
        <w:t>当前手术识别</w:t>
      </w:r>
    </w:p>
    <w:p>
      <w:r>
        <w:t>确认surgery_id；取消和实际手术分别保存。</w:t>
      </w:r>
    </w:p>
    <w:p>
      <w:pPr>
        <w:pStyle w:val="Heading2"/>
      </w:pPr>
      <w:r>
        <w:t>当前麻醉事件识别</w:t>
      </w:r>
    </w:p>
    <w:p>
      <w:r>
        <w:t>确认anesthesia_event_id，同日两次也不合并。</w:t>
      </w:r>
    </w:p>
    <w:p>
      <w:pPr>
        <w:pStyle w:val="Heading2"/>
      </w:pPr>
      <w:r>
        <w:t>文书类型识别</w:t>
      </w:r>
    </w:p>
    <w:p>
      <w:r>
        <w:t>区分术前访视、麻醉单、操作、抢救、PACU和术后访视。</w:t>
      </w:r>
    </w:p>
    <w:p>
      <w:pPr>
        <w:pStyle w:val="Heading2"/>
      </w:pPr>
      <w:r>
        <w:t>麻醉术前评估路由</w:t>
      </w:r>
    </w:p>
    <w:p>
      <w:r>
        <w:t>术前调用02、03、04及相关专病，再由10审核。</w:t>
      </w:r>
    </w:p>
    <w:p>
      <w:pPr>
        <w:pStyle w:val="Heading2"/>
      </w:pPr>
      <w:r>
        <w:t>麻醉技术识别</w:t>
      </w:r>
    </w:p>
    <w:p>
      <w:r>
        <w:t>按实际技术和计划技术分别识别，不能据手术名反推。</w:t>
      </w:r>
    </w:p>
    <w:p>
      <w:pPr>
        <w:pStyle w:val="Heading2"/>
      </w:pPr>
      <w:r>
        <w:t>气道管理路由</w:t>
      </w:r>
    </w:p>
    <w:p>
      <w:r>
        <w:t>气道任务调用05、101；异常另加06。</w:t>
      </w:r>
    </w:p>
    <w:p>
      <w:pPr>
        <w:pStyle w:val="Heading2"/>
      </w:pPr>
      <w:r>
        <w:t>区域阻滞路由</w:t>
      </w:r>
    </w:p>
    <w:p>
      <w:r>
        <w:t>区域任务调用05、07、102，抗栓与神经基线需真实输入。</w:t>
      </w:r>
    </w:p>
    <w:p>
      <w:pPr>
        <w:pStyle w:val="Heading2"/>
      </w:pPr>
      <w:r>
        <w:t>术中监测分析路由</w:t>
      </w:r>
    </w:p>
    <w:p>
      <w:r>
        <w:t>监测任务调用04，保留原值、采样条件与有效性。</w:t>
      </w:r>
    </w:p>
    <w:p>
      <w:pPr>
        <w:pStyle w:val="Heading2"/>
      </w:pPr>
      <w:r>
        <w:t>麻醉药物给药状态管理</w:t>
      </w:r>
    </w:p>
    <w:p>
      <w:r>
        <w:t>药物任务调用07，逐次执行ID，泵变更独立。</w:t>
      </w:r>
    </w:p>
    <w:p>
      <w:pPr>
        <w:pStyle w:val="Heading2"/>
      </w:pPr>
      <w:r>
        <w:t>麻醉危急事件路由</w:t>
      </w:r>
    </w:p>
    <w:p>
      <w:r>
        <w:t>危急任务先现场处理，再调用06、07及107等记录。</w:t>
      </w:r>
    </w:p>
    <w:p>
      <w:pPr>
        <w:pStyle w:val="Heading2"/>
      </w:pPr>
      <w:r>
        <w:t>PACU恢复路由</w:t>
      </w:r>
    </w:p>
    <w:p>
      <w:r>
        <w:t>恢复任务调用09，评分与转出不同事件。</w:t>
      </w:r>
    </w:p>
    <w:p>
      <w:pPr>
        <w:pStyle w:val="Heading2"/>
      </w:pPr>
      <w:r>
        <w:t>术后镇痛及术后访视路由</w:t>
      </w:r>
    </w:p>
    <w:p>
      <w:r>
        <w:t>镇痛和访视调用09，和术前访视独立。</w:t>
      </w:r>
    </w:p>
    <w:p>
      <w:pPr>
        <w:pStyle w:val="Heading2"/>
      </w:pPr>
      <w:r>
        <w:t>多次麻醉事件管理</w:t>
      </w:r>
    </w:p>
    <w:p>
      <w:r>
        <w:t>旧事件只能带来源作历史引用，当前执行从新事实建立。</w:t>
      </w:r>
    </w:p>
    <w:p>
      <w:pPr>
        <w:pStyle w:val="Heading2"/>
      </w:pPr>
      <w:r>
        <w:t>三级医师评估路由</w:t>
      </w:r>
    </w:p>
    <w:p>
      <w:r>
        <w:t>有实际参与证据才调用08相应层级。</w:t>
      </w:r>
    </w:p>
    <w:p>
      <w:pPr>
        <w:pStyle w:val="Heading2"/>
      </w:pPr>
      <w:r>
        <w:t>最终文书质量控制</w:t>
      </w:r>
    </w:p>
    <w:p>
      <w:r>
        <w:t>10按严重度审查，核实完成后才输出受影响净稿。</w:t>
      </w:r>
    </w:p>
    <w:p>
      <w:bookmarkStart w:id="4" w:name="chapter4"/>
      <w:pPr>
        <w:pStyle w:val="Heading1"/>
      </w:pPr>
      <w:r>
        <w:t>五 典型任务调用表</w:t>
      </w:r>
      <w:bookmarkEnd w:id="4"/>
    </w:p>
    <w:tbl>
      <w:tblPr>
        <w:tblW w:type="auto" w:w="0"/>
        <w:tblLayout w:type="fixed"/>
        <w:tblLook w:firstColumn="1" w:firstRow="1" w:lastColumn="0" w:lastRow="0" w:noHBand="0" w:noVBand="1" w:val="04A0"/>
      </w:tblPr>
      <w:tblGrid>
        <w:gridCol w:w="2268"/>
        <w:gridCol w:w="2835"/>
        <w:gridCol w:w="4365"/>
      </w:tblGrid>
      <w:tr>
        <w:trPr>
          <w:tblHeader/>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任务</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功能及专业模块</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专门核对</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择期术前访视</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相关专业模块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只分析已提供检查，计划有医师确认</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全麻气管插管记录</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00 01 11 02 05 07 101 10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实际操作、给药与逐时监测不可缺</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困难气道主任评估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00 01 11 02 03 05 08 101 10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真实气道证据和主任参与</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超声神经阻滞</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00 01 11 02 05 07 102 10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侧别、药物和效果分开</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高风险心脏病术前评估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00 01 11 02 03 04 08 103 10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非心脏术心血管指南范围明确</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神经外科开颅记录</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00 01 11 02 04 05 104 10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神经基线和实际监测</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急诊剖宫产评估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00 01 11 02 03 05 105 10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母胎分源与真实紧急性</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高龄多病评估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00 01 11 02 03 04 106 10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衰弱认知与用药</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创伤术中循环不稳定</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00 01 11 02 04 06 07 107 10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先现场支持，后整理记录</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胃镜后PACU恢复</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00 01 11 02 05 09 108 10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恢复与离院独立</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呼吸抑制再次插管</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00 01 11 02 05 06 09 101 10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拔管及再插管独立事件</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麻醉术后访视</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09 相关专业模块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实际访视，不能推断无并发症</w:t>
            </w:r>
          </w:p>
        </w:tc>
      </w:tr>
    </w:tbl>
    <w:p>
      <w:pPr>
        <w:spacing w:after="40"/>
      </w:pPr>
    </w:p>
    <w:p>
      <w:bookmarkStart w:id="5" w:name="chapter5"/>
      <w:pPr>
        <w:pStyle w:val="Heading1"/>
      </w:pPr>
      <w:r>
        <w:t>六 文书组合与完整输出示范</w:t>
      </w:r>
      <w:bookmarkEnd w:id="5"/>
    </w:p>
    <w:p>
      <w:pPr>
        <w:keepNext/>
      </w:pPr>
      <w:r>
        <w:rPr>
          <w:rFonts w:ascii="宋体" w:hAnsi="宋体" w:eastAsia="宋体"/>
          <w:b/>
          <w:color w:val="000000"/>
          <w:sz w:val="21"/>
        </w:rPr>
        <w:t>【日期 时间】 本模块完整记录框架</w:t>
      </w:r>
    </w:p>
    <w:p>
      <w:pPr>
        <w:keepNext/>
        <w:spacing w:after="0"/>
      </w:pPr>
      <w:r>
        <w:rPr>
          <w:rFonts w:ascii="宋体" w:hAnsi="宋体" w:eastAsia="宋体"/>
          <w:b w:val="0"/>
          <w:color w:val="000000"/>
          <w:sz w:val="18"/>
        </w:rPr>
        <w:t>```text</w:t>
      </w:r>
    </w:p>
    <w:p>
      <w:pPr>
        <w:widowControl/>
        <w:spacing w:after="40" w:line="264" w:lineRule="auto"/>
        <w:ind w:left="142"/>
      </w:pPr>
      <w:r>
        <w:t>对象：【本次患者及就诊、手术或诊疗、麻醉事件ID】</w:t>
      </w:r>
    </w:p>
    <w:p>
      <w:pPr>
        <w:widowControl/>
        <w:spacing w:after="40" w:line="264" w:lineRule="auto"/>
        <w:ind w:left="142"/>
      </w:pPr>
      <w:r>
        <w:t>截止：【事实可用截止时点及记录版本】</w:t>
      </w:r>
    </w:p>
    <w:p>
      <w:pPr>
        <w:widowControl/>
        <w:spacing w:after="40" w:line="264" w:lineRule="auto"/>
        <w:ind w:left="142"/>
      </w:pPr>
      <w:r>
        <w:t>任务：【本次文书类型和临床阶段】</w:t>
      </w:r>
    </w:p>
    <w:p>
      <w:pPr>
        <w:widowControl/>
        <w:spacing w:after="40" w:line="264" w:lineRule="auto"/>
        <w:ind w:left="142"/>
      </w:pPr>
      <w:r>
        <w:t>资料：【原始事实、来源、时间、核验与局限】</w:t>
      </w:r>
    </w:p>
    <w:p>
      <w:pPr>
        <w:widowControl/>
        <w:spacing w:after="40" w:line="264" w:lineRule="auto"/>
        <w:ind w:left="142"/>
      </w:pPr>
      <w:r>
        <w:t>判断：【有权限医师的有据意见和确定度】</w:t>
      </w:r>
    </w:p>
    <w:p>
      <w:pPr>
        <w:widowControl/>
        <w:spacing w:after="40" w:line="264" w:lineRule="auto"/>
        <w:ind w:left="142"/>
      </w:pPr>
      <w:r>
        <w:t>计划：【拟采取事项及责任】</w:t>
      </w:r>
    </w:p>
    <w:p>
      <w:pPr>
        <w:widowControl/>
        <w:spacing w:after="40" w:line="264" w:lineRule="auto"/>
        <w:ind w:left="142"/>
      </w:pPr>
      <w:r>
        <w:t>执行：【确有记录的实际事项及时间，未发生不补】</w:t>
      </w:r>
    </w:p>
    <w:p>
      <w:pPr>
        <w:widowControl/>
        <w:spacing w:after="40" w:line="264" w:lineRule="auto"/>
        <w:ind w:left="142"/>
      </w:pPr>
      <w:r>
        <w:t>当前：【临床状态、未解决问题、真实去向】</w:t>
      </w:r>
    </w:p>
    <w:p>
      <w:pPr>
        <w:keepNext/>
        <w:widowControl/>
        <w:spacing w:after="40" w:line="264" w:lineRule="auto"/>
        <w:ind w:left="142"/>
      </w:pPr>
      <w:r>
        <w:t>后续：【复评、交接、责任和审核签署状态】</w:t>
      </w:r>
    </w:p>
    <w:p>
      <w:pPr>
        <w:spacing w:before="0"/>
      </w:pPr>
      <w:r>
        <w:rPr>
          <w:rFonts w:ascii="宋体" w:hAnsi="宋体" w:eastAsia="宋体"/>
          <w:b w:val="0"/>
          <w:color w:val="000000"/>
          <w:sz w:val="18"/>
        </w:rPr>
        <w:t>```</w:t>
      </w:r>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术前访视路由演示</w:t>
      </w:r>
    </w:p>
    <w:p>
      <w:pPr>
        <w:keepNext/>
        <w:spacing w:after="0"/>
      </w:pPr>
      <w:r>
        <w:rPr>
          <w:rFonts w:ascii="宋体" w:hAnsi="宋体" w:eastAsia="宋体"/>
          <w:b w:val="0"/>
          <w:color w:val="000000"/>
          <w:sz w:val="18"/>
        </w:rPr>
        <w:t>```text</w:t>
      </w:r>
    </w:p>
    <w:p>
      <w:pPr>
        <w:keepNext/>
        <w:widowControl/>
        <w:spacing w:after="40" w:line="264" w:lineRule="auto"/>
        <w:ind w:left="142"/>
      </w:pPr>
      <w:r>
        <w:t>模拟患者SIM-00，本次就诊SIM-V00，拟行右侧腹股沟疝修补术，尚未实施麻醉。已取得本人病史、真实气道检查及2026年10月19日报告；未提供身高。当前调用00、01、11、02、03、04、101和10，BMI保持未计算。责任医师已确认ASAⅡ级及拟定全麻计划；不生成给药、插管或PACU记录。</w:t>
      </w:r>
    </w:p>
    <w:p>
      <w:pPr>
        <w:spacing w:before="0"/>
      </w:pPr>
      <w:r>
        <w:rPr>
          <w:rFonts w:ascii="宋体" w:hAnsi="宋体" w:eastAsia="宋体"/>
          <w:b w:val="0"/>
          <w:color w:val="000000"/>
          <w:sz w:val="18"/>
        </w:rPr>
        <w:t>```</w:t>
      </w:r>
    </w:p>
    <w:p>
      <w:bookmarkStart w:id="6" w:name="chapter6"/>
      <w:pPr>
        <w:pStyle w:val="Heading1"/>
      </w:pPr>
      <w:r>
        <w:t>七 真实性限制 常见错误与质控清单</w:t>
      </w:r>
      <w:bookmarkEnd w:id="6"/>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7" w:name="chapter7"/>
      <w:pPr>
        <w:pStyle w:val="Heading1"/>
      </w:pPr>
      <w:r>
        <w:t>八 模块协同与验收状态</w:t>
      </w:r>
      <w:bookmarkEnd w:id="7"/>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8" w:name="chapter8"/>
      <w:pPr>
        <w:pStyle w:val="Heading1"/>
      </w:pPr>
      <w:r>
        <w:t>九 参考规范与指南核验</w:t>
      </w:r>
      <w:bookmarkEnd w:id="8"/>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R02 医疗质量安全核心制度要点。发布：国家卫生健康委；正式年份：2018；实施：未另列统一实施日；版本：国卫医发〔2018〕8号。适用：查对、交接、会诊、危急值、术前讨论、抢救、病历及信息安全。主要适用章节：本模块评估、管理及对应模板；核验：2026-10-29，官方正文及解读。</w:t>
      </w:r>
    </w:p>
    <w:p>
      <w:hyperlink r:id="rId12">
        <w:r>
          <w:rPr>
            <w:sz w:val="20"/>
          </w:rPr>
          <w:t>正式来源 R02</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3">
        <w:r>
          <w:rPr>
            <w:sz w:val="20"/>
          </w:rPr>
          <w:t>正式来源 R03</w:t>
        </w:r>
      </w:hyperlink>
    </w:p>
    <w:p>
      <w:r>
        <w:t>R04 麻醉专业医疗质量控制指标 2022年版。发布：国家卫生健康委办公厅；正式年份：2022-05-11；实施：通知未另列；版本：国卫办医函〔2022〕161号 附件4。适用：医疗质量数据口径与事件追溯；汇总指标需另按正式附件逐项配置。主要适用章节：本模块评估、管理及对应模板；核验：2026-10-29，官方通知和附件名称已核验；未完成26项附件公式逐项实现，未检索到替代该版的正式通知。</w:t>
      </w:r>
    </w:p>
    <w:p>
      <w:hyperlink r:id="rId14">
        <w:r>
          <w:rPr>
            <w:sz w:val="20"/>
          </w:rPr>
          <w:t>正式来源 R04</w:t>
        </w:r>
      </w:hyperlink>
    </w:p>
    <w:p>
      <w:r>
        <w:t>R05 电子病历共享文档规范 第10部分 麻醉术前访视记录。发布：原国家卫生计生委；正式年份：2016-08-23；实施：2017-12-01；版本：WS/T 500.10—2016。适用：术前访视文档头体与独立文书边界。主要适用章节：本模块评估、管理及对应模板；核验：2026-10-29，官方标准目录与元数据；未实现XML共享接口。</w:t>
      </w:r>
    </w:p>
    <w:p>
      <w:hyperlink r:id="rId15">
        <w:r>
          <w:rPr>
            <w:sz w:val="20"/>
          </w:rPr>
          <w:t>正式来源 R05</w:t>
        </w:r>
      </w:hyperlink>
    </w:p>
    <w:p>
      <w:r>
        <w:t>R06 电子病历共享文档规范 第11部分 麻醉记录。发布：原国家卫生计生委；正式年份：2016；实施：未单独核实；版本：WS/T 500.11—2016。适用：麻醉记录独立文档与共享字段。主要适用章节：本模块评估、管理及对应模板；核验：2026-10-29，官方目录确认标准及名称；实施日期与全文约束保留待核，不用于宣称接口合规。</w:t>
      </w:r>
    </w:p>
    <w:p>
      <w:hyperlink r:id="rId16">
        <w:r>
          <w:rPr>
            <w:sz w:val="20"/>
          </w:rPr>
          <w:t>正式来源 R06</w:t>
        </w:r>
      </w:hyperlink>
    </w:p>
    <w:p>
      <w:r>
        <w:t>R07 电子病历共享文档规范 第12部分 麻醉术后访视记录。发布：原国家卫生计生委；正式年份：2016-08-23；实施：2017-12-01；版本：WS/T 500.12—2016。适用：术后访视独立文档头体。主要适用章节：本模块评估、管理及对应模板；核验：2026-10-29，官方元数据已核验；未实现共享接口。</w:t>
      </w:r>
    </w:p>
    <w:p>
      <w:hyperlink r:id="rId17">
        <w:r>
          <w:rPr>
            <w:sz w:val="20"/>
          </w:rPr>
          <w:t>正式来源 R07</w:t>
        </w:r>
      </w:hyperlink>
    </w:p>
    <w:p>
      <w:bookmarkStart w:id="9" w:name="chapter9"/>
      <w:pPr>
        <w:pStyle w:val="Heading1"/>
      </w:pPr>
      <w:r>
        <w:t>十 版本维护规则</w:t>
      </w:r>
      <w:bookmarkEnd w:id="9"/>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ww.nhc.gov.cn/yzygj/c100068/201804/42ab2552298047679cd6ec733f233862.shtml" TargetMode="External"/><Relationship Id="rId13" Type="http://schemas.openxmlformats.org/officeDocument/2006/relationships/hyperlink" Target="https://wjw.fj.gov.cn/jggk/csxx/jhsyjtfzczcfgc/gzdt_37901/202409/P020240918373243810060.pdf" TargetMode="External"/><Relationship Id="rId14" Type="http://schemas.openxmlformats.org/officeDocument/2006/relationships/hyperlink" Target="https://www.nhc.gov.cn/yzygj/c100068/202205/164e6556f6d34c33a3344fec9a2c5074.shtml" TargetMode="External"/><Relationship Id="rId15" Type="http://schemas.openxmlformats.org/officeDocument/2006/relationships/hyperlink" Target="https://www.nhc.gov.cn/wjw/s9497/201611/b927747887d4403d9984365d31824f2e.shtml" TargetMode="External"/><Relationship Id="rId16" Type="http://schemas.openxmlformats.org/officeDocument/2006/relationships/hyperlink" Target="https://www.nhc.gov.cn/zwgkzt/wsbzxx/wsbz.shtml" TargetMode="External"/><Relationship Id="rId17" Type="http://schemas.openxmlformats.org/officeDocument/2006/relationships/hyperlink" Target="https://www.nhc.gov.cn/wjw/s9497/201611/9a0d6a6767774bcc8c8f7d6c67252d3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麻醉科AI病历系统总入口与模块调用索引</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