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麻醉术前评估气道检查与围手术期风险分层模板库</w:t>
      </w:r>
    </w:p>
    <w:p>
      <w:pPr>
        <w:spacing w:after="180"/>
      </w:pPr>
      <w:r>
        <w:t>模块编号 03</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以真实病史查体及检查支持风险评估，记录医师ASA判断与评分的完整输入。本模块将医学资料、临床判断和实际执行分开，为本次麻醉事件生成可追溯的待审文书；关键缺失或冲突须核实后才能形成完整净稿。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术前临床判断顺序</w:t>
        </w:r>
      </w:hyperlink>
    </w:p>
    <w:p>
      <w:pPr>
        <w:spacing w:after="60"/>
      </w:pPr>
      <w:hyperlink w:anchor="chapter3">
        <w:r>
          <w:t>四 36项评估资料及解释</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以真实病史查体及检查支持风险评估，记录医师ASA判断与评分的完整输入。本模块面向中国医院麻醉医师及病历质控人员，提供待人工审核的规则和模板。版本V1.0，建设及规范核验日期2026年10月29日，尚未经过医院临床上线验收。</w:t>
      </w:r>
    </w:p>
    <w:p>
      <w:r>
        <w:t>适用范围及触发：当任务涉及以真实病史查体及检查支持风险评估时，由00及11按最小充分原则调用。专病模块服务于具体麻醉技术和人群，不能覆盖01的真实性要求。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术前临床判断顺序</w:t>
      </w:r>
      <w:bookmarkEnd w:id="2"/>
    </w:p>
    <w:p>
      <w:r>
        <w:t>先确认术式和急迫性，再核对当前器官稳定性、功能储备、气道与误吸风险，识别可逆问题及需要专科意见的活动性异常；责任医师比较技术、监测、备援及术后去向。不能把风险分数直接变成麻醉方式或停药医嘱。</w:t>
      </w:r>
    </w:p>
    <w:p>
      <w:pPr>
        <w:pStyle w:val="Heading2"/>
      </w:pPr>
      <w:r>
        <w:t>ASA分级及急诊后缀</w:t>
      </w:r>
    </w:p>
    <w:tbl>
      <w:tblPr>
        <w:tblW w:type="auto" w:w="0"/>
        <w:tblLayout w:type="fixed"/>
        <w:tblLook w:firstColumn="1" w:firstRow="1" w:lastColumn="0" w:lastRow="0" w:noHBand="0" w:noVBand="1" w:val="04A0"/>
      </w:tblPr>
      <w:tblGrid>
        <w:gridCol w:w="1701"/>
        <w:gridCol w:w="7767"/>
      </w:tblGrid>
      <w:tr>
        <w:trPr>
          <w:tblHeader/>
        </w:trP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等级</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临床含义与限制</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I</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健康患者</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II</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轻度全身疾病</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III</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严重全身疾病</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IV</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严重全身疾病，持续威胁生命</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V</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濒死患者，不接受手术预计难以存活</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VI</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已宣布脑死亡，拟行器官获取的患者</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E</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延迟治疗将显著增加生命或身体部分威胁的急诊，由医师确认</w:t>
            </w:r>
          </w:p>
        </w:tc>
      </w:tr>
    </w:tbl>
    <w:p>
      <w:pPr>
        <w:spacing w:after="40"/>
      </w:pPr>
    </w:p>
    <w:p>
      <w:r>
        <w:t>以上对照WS 329附录A。实际等级保留医师、时间、依据及版本；级别不是按病名数目自动加分，不能把Ⅵ用于一般危重患者。ASA 2025修订声明仅核实期刊元数据，未将无法核对的新示例加入判定。</w:t>
      </w:r>
    </w:p>
    <w:p>
      <w:pPr>
        <w:pStyle w:val="Heading2"/>
      </w:pPr>
      <w:r>
        <w:t>完整输入后才能计算的风险工具</w:t>
      </w:r>
    </w:p>
    <w:p>
      <w:r>
        <w:t>成人STOP-Bang记录八项：打鼾、疲劳、目击呼吸暂停、高血压、BMI&gt;35kg/m²、年龄&gt;50岁、颈围&gt;40cm、男性；各项有真实资料才记录0或1并求和0至8，未知不计0。仅作筛查，不能确诊OSA；儿童不套用。中文及院内版本须核对。</w:t>
      </w:r>
    </w:p>
    <w:p>
      <w:r>
        <w:t>成人简化Apfel记录女性、不吸烟、既往PONV或晕动病、术后阿片使用计划四项；最后一项区分计划风险输入与实际给药，各项明确后求和0至4。分数不代表个体必然发生概率，不自动触发止吐处方。第五版PONV仅核验正式元数据，未复制未核推荐等级。</w:t>
      </w:r>
    </w:p>
    <w:p>
      <w:r>
        <w:t>心血管风险先用适用于非心脏手术的分步框架。若医师提供RCRI或其他工具，保存工具名称版本、适用手术、全部输入、原始结果及计算者；未逐项取得和核对工具算法时不由本库计算分数。2026 AHA/ACC再确认版的范围为非心脏手术。</w:t>
      </w:r>
    </w:p>
    <w:p>
      <w:bookmarkStart w:id="3" w:name="chapter3"/>
      <w:pPr>
        <w:pStyle w:val="Heading1"/>
      </w:pPr>
      <w:r>
        <w:t>四 36项评估资料及解释</w:t>
      </w:r>
      <w:bookmarkEnd w:id="3"/>
    </w:p>
    <w:p>
      <w:pPr>
        <w:pStyle w:val="Heading2"/>
      </w:pPr>
      <w:r>
        <w:t>01 年龄</w:t>
      </w:r>
    </w:p>
    <w:p>
      <w:r>
        <w:t>必需资料：出生日期及本次评估日期，成人岁或儿童月龄日龄。评估逻辑：年龄相关气道、体温、代谢和恢复差异，不能仅按年龄判定ASA。记录：本次【时间、来源】取得【原始所见或数值及单位】，责任医师据此判断【风险及确定度】，拟【经确认计划】，未完成项目及复核责任【事项】。</w:t>
      </w:r>
    </w:p>
    <w:p>
      <w:pPr>
        <w:pStyle w:val="Heading2"/>
      </w:pPr>
      <w:r>
        <w:t>02 性别</w:t>
      </w:r>
    </w:p>
    <w:p>
      <w:r>
        <w:t>必需资料：患者或有效证件资料，妊娠相关信息另列。评估逻辑：按量表适用字段记录；不从姓名推断生物学特征。记录：本次【时间、来源】取得【原始所见或数值及单位】，责任医师据此判断【风险及确定度】，拟【经确认计划】，未完成项目及复核责任【事项】。</w:t>
      </w:r>
    </w:p>
    <w:p>
      <w:pPr>
        <w:pStyle w:val="Heading2"/>
      </w:pPr>
      <w:r>
        <w:t>03 身高</w:t>
      </w:r>
    </w:p>
    <w:p>
      <w:r>
        <w:t>必需资料：近期实测cm、时间、测量条件。评估逻辑：与体重共同核对BMI；估计值明确标识。记录：本次【时间、来源】取得【原始所见或数值及单位】，责任医师据此判断【风险及确定度】，拟【经确认计划】，未完成项目及复核责任【事项】。</w:t>
      </w:r>
    </w:p>
    <w:p>
      <w:pPr>
        <w:pStyle w:val="Heading2"/>
      </w:pPr>
      <w:r>
        <w:t>04 体重</w:t>
      </w:r>
    </w:p>
    <w:p>
      <w:r>
        <w:t>必需资料：近期实测kg、时间、体液状态。评估逻辑：实际体重、理想体重和去脂体重不混写为给药依据。记录：本次【时间、来源】取得【原始所见或数值及单位】，责任医师据此判断【风险及确定度】，拟【经确认计划】，未完成项目及复核责任【事项】。</w:t>
      </w:r>
    </w:p>
    <w:p>
      <w:pPr>
        <w:pStyle w:val="Heading2"/>
      </w:pPr>
      <w:r>
        <w:t>05 BMI</w:t>
      </w:r>
    </w:p>
    <w:p>
      <w:r>
        <w:t>必需资料：身高体重同次实测，kg与m单位。评估逻辑：BMI=kg/m²，保存原始值及推导标签；无身高不可计算。记录：本次【时间、来源】取得【原始所见或数值及单位】，责任医师据此判断【风险及确定度】，拟【经确认计划】，未完成项目及复核责任【事项】。</w:t>
      </w:r>
    </w:p>
    <w:p>
      <w:pPr>
        <w:pStyle w:val="Heading2"/>
      </w:pPr>
      <w:r>
        <w:t>06 拟行手术</w:t>
      </w:r>
    </w:p>
    <w:p>
      <w:r>
        <w:t>必需资料：拟手术全称、部位侧别、手术团队及预计范围。评估逻辑：拟定与实际手术区分，估计失血和体位影响须注明来源。记录：本次【时间、来源】取得【原始所见或数值及单位】，责任医师据此判断【风险及确定度】，拟【经确认计划】，未完成项目及复核责任【事项】。</w:t>
      </w:r>
    </w:p>
    <w:p>
      <w:pPr>
        <w:pStyle w:val="Heading2"/>
      </w:pPr>
      <w:r>
        <w:t>07 手术紧急程度</w:t>
      </w:r>
    </w:p>
    <w:p>
      <w:r>
        <w:t>必需资料：责任团队明确的择期限期急诊程度及理由。评估逻辑：E后缀须由医师判定延迟治疗将显著增加生命或身体部分威胁，不能见急诊地点就加E。记录：本次【时间、来源】取得【原始所见或数值及单位】，责任医师据此判断【风险及确定度】，拟【经确认计划】，未完成项目及复核责任【事项】。</w:t>
      </w:r>
    </w:p>
    <w:p>
      <w:pPr>
        <w:pStyle w:val="Heading2"/>
      </w:pPr>
      <w:r>
        <w:t>08 现病史及主要症状</w:t>
      </w:r>
    </w:p>
    <w:p>
      <w:r>
        <w:t>必需资料：症状起止、严重度、治疗反应、当日变化。评估逻辑：新发胸痛气促发热等改变原评估，报告责任医师复核。记录：本次【时间、来源】取得【原始所见或数值及单位】，责任医师据此判断【风险及确定度】，拟【经确认计划】，未完成项目及复核责任【事项】。</w:t>
      </w:r>
    </w:p>
    <w:p>
      <w:pPr>
        <w:pStyle w:val="Heading2"/>
      </w:pPr>
      <w:r>
        <w:t>09 既往手术史</w:t>
      </w:r>
    </w:p>
    <w:p>
      <w:r>
        <w:t>必需资料：既往手术时间、名称、并发症原记录。评估逻辑：旧手术情况仅作病史，不复制旧通路或管道状态。记录：本次【时间、来源】取得【原始所见或数值及单位】，责任医师据此判断【风险及确定度】，拟【经确认计划】，未完成项目及复核责任【事项】。</w:t>
      </w:r>
    </w:p>
    <w:p>
      <w:pPr>
        <w:pStyle w:val="Heading2"/>
      </w:pPr>
      <w:r>
        <w:t>10 既往麻醉史</w:t>
      </w:r>
    </w:p>
    <w:p>
      <w:r>
        <w:t>必需资料：既往方式、困难通气插管、苏醒和事件来源。评估逻辑：原始麻醉单优于模糊转述的细节，但冲突保留待核。记录：本次【时间、来源】取得【原始所见或数值及单位】，责任医师据此判断【风险及确定度】，拟【经确认计划】，未完成项目及复核责任【事项】。</w:t>
      </w:r>
    </w:p>
    <w:p>
      <w:pPr>
        <w:pStyle w:val="Heading2"/>
      </w:pPr>
      <w:r>
        <w:t>11 药物及过敏史</w:t>
      </w:r>
    </w:p>
    <w:p>
      <w:r>
        <w:t>必需资料：所有长期药、抗栓、降糖药及末次执行；过敏表型。评估逻辑：医嘱停药不等于实际停药，副作用与免疫过敏分开。记录：本次【时间、来源】取得【原始所见或数值及单位】，责任医师据此判断【风险及确定度】，拟【经确认计划】，未完成项目及复核责任【事项】。</w:t>
      </w:r>
    </w:p>
    <w:p>
      <w:pPr>
        <w:pStyle w:val="Heading2"/>
      </w:pPr>
      <w:r>
        <w:t>12 重要合并症</w:t>
      </w:r>
    </w:p>
    <w:p>
      <w:r>
        <w:t>必需资料：疾病诊断来源、严重度、活动耐量及功能影响。评估逻辑：不能按疾病数量机械判定ASA。记录：本次【时间、来源】取得【原始所见或数值及单位】，责任医师据此判断【风险及确定度】，拟【经确认计划】，未完成项目及复核责任【事项】。</w:t>
      </w:r>
    </w:p>
    <w:p>
      <w:pPr>
        <w:pStyle w:val="Heading2"/>
      </w:pPr>
      <w:r>
        <w:t>13 当前治疗状态</w:t>
      </w:r>
    </w:p>
    <w:p>
      <w:r>
        <w:t>必需资料：药物氧疗透析支持的实际执行、起止及效果。评估逻辑：计划优化不能写已控制；术前到期复核重要变化。记录：本次【时间、来源】取得【原始所见或数值及单位】，责任医师据此判断【风险及确定度】，拟【经确认计划】，未完成项目及复核责任【事项】。</w:t>
      </w:r>
    </w:p>
    <w:p>
      <w:pPr>
        <w:pStyle w:val="Heading2"/>
      </w:pPr>
      <w:r>
        <w:t>14 Mallampati分级</w:t>
      </w:r>
    </w:p>
    <w:p>
      <w:r>
        <w:t>必需资料：坐位、张口伸舌等实际检查条件与I至IV所见。评估逻辑：合作或检查条件不合适写无法可靠分级，不从肥胖推导。记录：本次【时间、来源】取得【原始所见或数值及单位】，责任医师据此判断【风险及确定度】，拟【经确认计划】，未完成项目及复核责任【事项】。</w:t>
      </w:r>
    </w:p>
    <w:p>
      <w:pPr>
        <w:pStyle w:val="Heading2"/>
      </w:pPr>
      <w:r>
        <w:t>15 张口度</w:t>
      </w:r>
    </w:p>
    <w:p>
      <w:r>
        <w:t>必需资料：上下门齿间实测值cm、疼痛及限制。评估逻辑：无牙或特殊解剖注明条件，不能仅写张口正常。记录：本次【时间、来源】取得【原始所见或数值及单位】，责任医师据此判断【风险及确定度】，拟【经确认计划】，未完成项目及复核责任【事项】。</w:t>
      </w:r>
    </w:p>
    <w:p>
      <w:pPr>
        <w:pStyle w:val="Heading2"/>
      </w:pPr>
      <w:r>
        <w:t>16 甲颏距离</w:t>
      </w:r>
    </w:p>
    <w:p>
      <w:r>
        <w:t>必需资料：头颈检查姿势、解剖测量点、实测cm。评估逻辑：测量方法及局限并列，不靠单一阈值判定困难插管。记录：本次【时间、来源】取得【原始所见或数值及单位】，责任医师据此判断【风险及确定度】，拟【经确认计划】，未完成项目及复核责任【事项】。</w:t>
      </w:r>
    </w:p>
    <w:p>
      <w:pPr>
        <w:pStyle w:val="Heading2"/>
      </w:pPr>
      <w:r>
        <w:t>17 颈部活动度</w:t>
      </w:r>
    </w:p>
    <w:p>
      <w:r>
        <w:t>必需资料：屈伸旋转实查、固定及影像限制。评估逻辑：颈椎不稳者不为完成评分强行活动。记录：本次【时间、来源】取得【原始所见或数值及单位】，责任医师据此判断【风险及确定度】，拟【经确认计划】，未完成项目及复核责任【事项】。</w:t>
      </w:r>
    </w:p>
    <w:p>
      <w:pPr>
        <w:pStyle w:val="Heading2"/>
      </w:pPr>
      <w:r>
        <w:t>18 下颌活动</w:t>
      </w:r>
    </w:p>
    <w:p>
      <w:r>
        <w:t>必需资料：下颌前伸咬合、相关疼痛与畸形。评估逻辑：结合其他气道证据和面罩密闭条件。记录：本次【时间、来源】取得【原始所见或数值及单位】，责任医师据此判断【风险及确定度】，拟【经确认计划】，未完成项目及复核责任【事项】。</w:t>
      </w:r>
    </w:p>
    <w:p>
      <w:pPr>
        <w:pStyle w:val="Heading2"/>
      </w:pPr>
      <w:r>
        <w:t>19 牙齿及义齿情况</w:t>
      </w:r>
    </w:p>
    <w:p>
      <w:r>
        <w:t>必需资料：松动牙位置、修复义齿、取下状态及来源。评估逻辑：计划取下不能写已取下，实际损伤需单独记录。记录：本次【时间、来源】取得【原始所见或数值及单位】，责任医师据此判断【风险及确定度】，拟【经确认计划】，未完成项目及复核责任【事项】。</w:t>
      </w:r>
    </w:p>
    <w:p>
      <w:pPr>
        <w:pStyle w:val="Heading2"/>
      </w:pPr>
      <w:r>
        <w:t>20 颈面部异常</w:t>
      </w:r>
    </w:p>
    <w:p>
      <w:r>
        <w:t>必需资料：颈面部肿块、放疗、瘢痕、创伤的实查资料。评估逻辑：提示通气插管及紧急前颈通路困难，记录可及性。记录：本次【时间、来源】取得【原始所见或数值及单位】，责任医师据此判断【风险及确定度】，拟【经确认计划】，未完成项目及复核责任【事项】。</w:t>
      </w:r>
    </w:p>
    <w:p>
      <w:pPr>
        <w:pStyle w:val="Heading2"/>
      </w:pPr>
      <w:r>
        <w:t>21 上气道病变</w:t>
      </w:r>
    </w:p>
    <w:p>
      <w:r>
        <w:t>必需资料：梗阻症状、内镜影像、病变位置与程度。评估逻辑：检查不能替代当前氧合和通气评估。记录：本次【时间、来源】取得【原始所见或数值及单位】，责任医师据此判断【风险及确定度】，拟【经确认计划】，未完成项目及复核责任【事项】。</w:t>
      </w:r>
    </w:p>
    <w:p>
      <w:pPr>
        <w:pStyle w:val="Heading2"/>
      </w:pPr>
      <w:r>
        <w:t>22 既往困难插管史</w:t>
      </w:r>
    </w:p>
    <w:p>
      <w:r>
        <w:t>必需资料：既往失败次数、器械、成功方式及原来源。评估逻辑：当前计划须由医师确认，不能写本次已经成功。记录：本次【时间、来源】取得【原始所见或数值及单位】，责任医师据此判断【风险及确定度】，拟【经确认计划】，未完成项目及复核责任【事项】。</w:t>
      </w:r>
    </w:p>
    <w:p>
      <w:pPr>
        <w:pStyle w:val="Heading2"/>
      </w:pPr>
      <w:r>
        <w:t>23 既往困难面罩通气史</w:t>
      </w:r>
    </w:p>
    <w:p>
      <w:r>
        <w:t>必需资料：既往面罩困难程度、原因、辅助器具及来源。评估逻辑：与插管困难分别标识，不能互为等价。记录：本次【时间、来源】取得【原始所见或数值及单位】，责任医师据此判断【风险及确定度】，拟【经确认计划】，未完成项目及复核责任【事项】。</w:t>
      </w:r>
    </w:p>
    <w:p>
      <w:pPr>
        <w:pStyle w:val="Heading2"/>
      </w:pPr>
      <w:r>
        <w:t>24 其他困难气道预测因素</w:t>
      </w:r>
    </w:p>
    <w:p>
      <w:r>
        <w:t>必需资料：胡须、无牙、OSA、颈围、喉部病变等真实资料。评估逻辑：风险组合仅支持风险判断，未做项目写未评估。记录：本次【时间、来源】取得【原始所见或数值及单位】，责任医师据此判断【风险及确定度】，拟【经确认计划】，未完成项目及复核责任【事项】。</w:t>
      </w:r>
    </w:p>
    <w:p>
      <w:pPr>
        <w:pStyle w:val="Heading2"/>
      </w:pPr>
      <w:r>
        <w:t>25 心血管系统</w:t>
      </w:r>
    </w:p>
    <w:p>
      <w:r>
        <w:t>必需资料：胸痛晕厥气促、活动耐量、心衰瓣膜节律及治疗。评估逻辑：心脏病风险工具限定术种与人群，新发失代偿需临床复评。记录：本次【时间、来源】取得【原始所见或数值及单位】，责任医师据此判断【风险及确定度】，拟【经确认计划】，未完成项目及复核责任【事项】。</w:t>
      </w:r>
    </w:p>
    <w:p>
      <w:pPr>
        <w:pStyle w:val="Heading2"/>
      </w:pPr>
      <w:r>
        <w:t>26 呼吸系统</w:t>
      </w:r>
    </w:p>
    <w:p>
      <w:r>
        <w:t>必需资料：咳嗽痰喘、感染吸烟史、氧疗、肺功能血气。评估逻辑：区分基线与急性恶化，氧疗条件用于结果解释。记录：本次【时间、来源】取得【原始所见或数值及单位】，责任医师据此判断【风险及确定度】，拟【经确认计划】，未完成项目及复核责任【事项】。</w:t>
      </w:r>
    </w:p>
    <w:p>
      <w:pPr>
        <w:pStyle w:val="Heading2"/>
      </w:pPr>
      <w:r>
        <w:t>27 神经系统</w:t>
      </w:r>
    </w:p>
    <w:p>
      <w:r>
        <w:t>必需资料：意识认知、定位体征、癫痫、颅压和神经病史。评估逻辑：为术后比较建立真实基线，不预写术后无异常。记录：本次【时间、来源】取得【原始所见或数值及单位】，责任医师据此判断【风险及确定度】，拟【经确认计划】，未完成项目及复核责任【事项】。</w:t>
      </w:r>
    </w:p>
    <w:p>
      <w:pPr>
        <w:pStyle w:val="Heading2"/>
      </w:pPr>
      <w:r>
        <w:t>28 肝肾功能</w:t>
      </w:r>
    </w:p>
    <w:p>
      <w:r>
        <w:t>必需资料：肝肾病因、严重度、透析时间、原报告及用药。评估逻辑：影响容量、电解质、凝血和药物恢复，单值不概括器官正常。记录：本次【时间、来源】取得【原始所见或数值及单位】，责任医师据此判断【风险及确定度】，拟【经确认计划】，未完成项目及复核责任【事项】。</w:t>
      </w:r>
    </w:p>
    <w:p>
      <w:pPr>
        <w:pStyle w:val="Heading2"/>
      </w:pPr>
      <w:r>
        <w:t>29 内分泌及代谢</w:t>
      </w:r>
    </w:p>
    <w:p>
      <w:r>
        <w:t>必需资料：血糖控制、酮症证据、甲状腺和长期激素。评估逻辑：保留末次服药执行与应激状态，不自动生成停药时长。记录：本次【时间、来源】取得【原始所见或数值及单位】，责任医师据此判断【风险及确定度】，拟【经确认计划】，未完成项目及复核责任【事项】。</w:t>
      </w:r>
    </w:p>
    <w:p>
      <w:pPr>
        <w:pStyle w:val="Heading2"/>
      </w:pPr>
      <w:r>
        <w:t>30 血液与凝血</w:t>
      </w:r>
    </w:p>
    <w:p>
      <w:r>
        <w:t>必需资料：血小板计数功能、凝血、出血史、血栓与抗栓。评估逻辑：置管拔管分别复核；凝血常规正常不排除所有抗栓作用。记录：本次【时间、来源】取得【原始所见或数值及单位】，责任医师据此判断【风险及确定度】，拟【经确认计划】，未完成项目及复核责任【事项】。</w:t>
      </w:r>
    </w:p>
    <w:p>
      <w:pPr>
        <w:pStyle w:val="Heading2"/>
      </w:pPr>
      <w:r>
        <w:t>31 感染与发热</w:t>
      </w:r>
    </w:p>
    <w:p>
      <w:r>
        <w:t>必需资料：体温、感染灶、培养、循环支持及治疗执行。评估逻辑：感染指标升高不等于脓毒症，诊断确定度由医师确认。记录：本次【时间、来源】取得【原始所见或数值及单位】，责任医师据此判断【风险及确定度】，拟【经确认计划】，未完成项目及复核责任【事项】。</w:t>
      </w:r>
    </w:p>
    <w:p>
      <w:pPr>
        <w:pStyle w:val="Heading2"/>
      </w:pPr>
      <w:r>
        <w:t>32 营养及容量状态</w:t>
      </w:r>
    </w:p>
    <w:p>
      <w:r>
        <w:t>必需资料：摄入、体重改变、液体丢失、查体及支持证据。评估逻辑：容量不足与液体反应性不能只由单个静态指标决定。记录：本次【时间、来源】取得【原始所见或数值及单位】，责任医师据此判断【风险及确定度】，拟【经确认计划】，未完成项目及复核责任【事项】。</w:t>
      </w:r>
    </w:p>
    <w:p>
      <w:pPr>
        <w:pStyle w:val="Heading2"/>
      </w:pPr>
      <w:r>
        <w:t>33 睡眠呼吸障碍</w:t>
      </w:r>
    </w:p>
    <w:p>
      <w:r>
        <w:t>必需资料：打鼾疲劳目击暂停高血压、BMI年龄颈围性别。评估逻辑：成人STOP-Bang八项完整才得完整分数；筛查阳性不确诊OSA。记录：本次【时间、来源】取得【原始所见或数值及单位】，责任医师据此判断【风险及确定度】，拟【经确认计划】，未完成项目及复核责任【事项】。</w:t>
      </w:r>
    </w:p>
    <w:p>
      <w:pPr>
        <w:pStyle w:val="Heading2"/>
      </w:pPr>
      <w:r>
        <w:t>34 血栓及出血风险</w:t>
      </w:r>
    </w:p>
    <w:p>
      <w:r>
        <w:t>必需资料：既往事件、活动肿瘤、抗栓药、末次剂量、肾功能。评估逻辑：不自动套统一停药时间；出血和血栓风险共同讨论。记录：本次【时间、来源】取得【原始所见或数值及单位】，责任医师据此判断【风险及确定度】，拟【经确认计划】，未完成项目及复核责任【事项】。</w:t>
      </w:r>
    </w:p>
    <w:p>
      <w:pPr>
        <w:pStyle w:val="Heading2"/>
      </w:pPr>
      <w:r>
        <w:t>35 妊娠和特殊生理状态</w:t>
      </w:r>
    </w:p>
    <w:p>
      <w:r>
        <w:t>必需资料：孕周、母体疾病、产科紧急性及胎儿来源。评估逻辑：母婴分开记录，母体监护不能代替胎心记录。记录：本次【时间、来源】取得【原始所见或数值及单位】，责任医师据此判断【风险及确定度】，拟【经确认计划】，未完成项目及复核责任【事项】。</w:t>
      </w:r>
    </w:p>
    <w:p>
      <w:pPr>
        <w:pStyle w:val="Heading2"/>
      </w:pPr>
      <w:r>
        <w:t>36 其他麻醉相关共病</w:t>
      </w:r>
    </w:p>
    <w:p>
      <w:r>
        <w:t>必需资料：罕见病、移植、物质使用、沟通和监护需求。评估逻辑：无专项证据时说明会诊需求及不确定性，不补常规阴性。记录：本次【时间、来源】取得【原始所见或数值及单位】，责任医师据此判断【风险及确定度】，拟【经确认计划】，未完成项目及复核责任【事项】。</w:t>
      </w:r>
    </w:p>
    <w:p>
      <w:bookmarkStart w:id="4" w:name="chapter4"/>
      <w:pPr>
        <w:pStyle w:val="Heading1"/>
      </w:pPr>
      <w:r>
        <w:t>五 通用文书组合与完整输出示范</w:t>
      </w:r>
      <w:bookmarkEnd w:id="4"/>
    </w:p>
    <w:p>
      <w:pPr>
        <w:keepNext/>
      </w:pPr>
      <w:r>
        <w:rPr>
          <w:rFonts w:ascii="宋体" w:hAnsi="宋体" w:eastAsia="宋体"/>
          <w:b/>
          <w:color w:val="000000"/>
          <w:sz w:val="21"/>
        </w:rPr>
        <w:t>【日期 时间】 本模块完整记录框架</w:t>
      </w:r>
    </w:p>
    <w:p>
      <w:pPr>
        <w:keepNext/>
        <w:spacing w:after="0"/>
      </w:pPr>
      <w:r>
        <w:rPr>
          <w:rFonts w:ascii="宋体" w:hAnsi="宋体" w:eastAsia="宋体"/>
          <w:b w:val="0"/>
          <w:color w:val="000000"/>
          <w:sz w:val="18"/>
        </w:rPr>
        <w:t>```text</w:t>
      </w:r>
    </w:p>
    <w:p>
      <w:pPr>
        <w:widowControl/>
        <w:spacing w:after="40" w:line="264" w:lineRule="auto"/>
        <w:ind w:left="142"/>
      </w:pPr>
      <w:r>
        <w:t>对象：【本次患者及就诊、手术或诊疗、麻醉事件ID】</w:t>
      </w:r>
    </w:p>
    <w:p>
      <w:pPr>
        <w:widowControl/>
        <w:spacing w:after="40" w:line="264" w:lineRule="auto"/>
        <w:ind w:left="142"/>
      </w:pPr>
      <w:r>
        <w:t>截止：【事实可用截止时点及记录版本】</w:t>
      </w:r>
    </w:p>
    <w:p>
      <w:pPr>
        <w:widowControl/>
        <w:spacing w:after="40" w:line="264" w:lineRule="auto"/>
        <w:ind w:left="142"/>
      </w:pPr>
      <w:r>
        <w:t>任务：【本次文书类型和临床阶段】</w:t>
      </w:r>
    </w:p>
    <w:p>
      <w:pPr>
        <w:widowControl/>
        <w:spacing w:after="40" w:line="264" w:lineRule="auto"/>
        <w:ind w:left="142"/>
      </w:pPr>
      <w:r>
        <w:t>资料：【原始事实、来源、时间、核验与局限】</w:t>
      </w:r>
    </w:p>
    <w:p>
      <w:pPr>
        <w:widowControl/>
        <w:spacing w:after="40" w:line="264" w:lineRule="auto"/>
        <w:ind w:left="142"/>
      </w:pPr>
      <w:r>
        <w:t>判断：【有权限医师的有据意见和确定度】</w:t>
      </w:r>
    </w:p>
    <w:p>
      <w:pPr>
        <w:widowControl/>
        <w:spacing w:after="40" w:line="264" w:lineRule="auto"/>
        <w:ind w:left="142"/>
      </w:pPr>
      <w:r>
        <w:t>计划：【拟采取事项及责任】</w:t>
      </w:r>
    </w:p>
    <w:p>
      <w:pPr>
        <w:widowControl/>
        <w:spacing w:after="40" w:line="264" w:lineRule="auto"/>
        <w:ind w:left="142"/>
      </w:pPr>
      <w:r>
        <w:t>执行：【确有记录的实际事项及时间，未发生不补】</w:t>
      </w:r>
    </w:p>
    <w:p>
      <w:pPr>
        <w:widowControl/>
        <w:spacing w:after="40" w:line="264" w:lineRule="auto"/>
        <w:ind w:left="142"/>
      </w:pPr>
      <w:r>
        <w:t>当前：【临床状态、未解决问题、真实去向】</w:t>
      </w:r>
    </w:p>
    <w:p>
      <w:pPr>
        <w:keepNext/>
        <w:widowControl/>
        <w:spacing w:after="40" w:line="264" w:lineRule="auto"/>
        <w:ind w:left="142"/>
      </w:pPr>
      <w:r>
        <w:t>后续：【复评、交接、责任和审核签署状态】</w:t>
      </w:r>
    </w:p>
    <w:p>
      <w:pPr>
        <w:spacing w:before="0"/>
      </w:pPr>
      <w:r>
        <w:rPr>
          <w:rFonts w:ascii="宋体" w:hAnsi="宋体" w:eastAsia="宋体"/>
          <w:b w:val="0"/>
          <w:color w:val="000000"/>
          <w:sz w:val="18"/>
        </w:rPr>
        <w:t>```</w:t>
      </w:r>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困难气道术前评估</w:t>
      </w:r>
    </w:p>
    <w:p>
      <w:pPr>
        <w:keepNext/>
        <w:spacing w:after="0"/>
      </w:pPr>
      <w:r>
        <w:rPr>
          <w:rFonts w:ascii="宋体" w:hAnsi="宋体" w:eastAsia="宋体"/>
          <w:b w:val="0"/>
          <w:color w:val="000000"/>
          <w:sz w:val="18"/>
        </w:rPr>
        <w:t>```text</w:t>
      </w:r>
    </w:p>
    <w:p>
      <w:pPr>
        <w:keepNext/>
        <w:widowControl/>
        <w:spacing w:after="40" w:line="264" w:lineRule="auto"/>
        <w:ind w:left="142"/>
      </w:pPr>
      <w:r>
        <w:t>模拟患者SIM-03，男，62岁，拟行甲状腺手术，近期颈部活动受限，实测张口2cm；2024年原始麻醉单载直接喉镜两次未成功后视频喉镜完成插管，本次尚未进行插管。责任医师完成实际检查，认为存在困难插管风险，已提出清醒气道建立的拟定方案，并明确需进一步核对气道影像、患者合作、面罩通气可行性及救援资源。当前未取得可靠Mallampati分级，不予补写；未有全套OSA输入，不生成STOP-Bang完整分数。</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R08 Basic Standards for Preanesthesia Care。发布：ASA；正式年份：2025-10-15修订；实施：无中国法定实施日；版本：2025修订版。适用：术前资料审核、访谈检查、计划及知情记录。主要适用章节：本模块评估、管理及对应模板；核验：2026-10-29，官方正文与修订日期。</w:t>
      </w:r>
    </w:p>
    <w:p>
      <w:hyperlink r:id="rId12">
        <w:r>
          <w:rPr>
            <w:sz w:val="20"/>
          </w:rPr>
          <w:t>正式来源 R08</w:t>
        </w:r>
      </w:hyperlink>
    </w:p>
    <w:p>
      <w:r>
        <w:t>R12 Statement on ASA Physical Status Classification System。发布：ASA；正式年份：2025-10-15修订；2026期刊刊载；实施：无中国法定实施日；版本：Anesthesiology Open 2026 1 e0002。适用：分级为医师临床判断；国内记录优先对照WS 329附录A。主要适用章节：本模块评估、管理及对应模板；核验：2026-10-29，正式期刊元数据；网页全文访问受限，不擅用未核新示例。</w:t>
      </w:r>
    </w:p>
    <w:p>
      <w:hyperlink r:id="rId13">
        <w:r>
          <w:rPr>
            <w:sz w:val="20"/>
          </w:rPr>
          <w:t>正式来源 R12</w:t>
        </w:r>
      </w:hyperlink>
    </w:p>
    <w:p>
      <w:r>
        <w:t>R19 Guideline for Perioperative Cardiovascular Management for Noncardiac Surgery。发布：AHA ACC及合作学会；正式年份：2026-09-29更新；实施：无中国法定实施日；版本：2026再确认版 替代2024标题版本，建议内容相同。适用：非心脏手术心血管风险和分步评估；不可直接替代心脏手术指南。主要适用章节：本模块评估、管理及对应模板；核验：2026-10-29，AHA官方发布页明确再确认及适用范围。</w:t>
      </w:r>
    </w:p>
    <w:p>
      <w:hyperlink r:id="rId14">
        <w:r>
          <w:rPr>
            <w:sz w:val="20"/>
          </w:rPr>
          <w:t>正式来源 R19</w:t>
        </w:r>
      </w:hyperlink>
    </w:p>
    <w:p>
      <w:r>
        <w:t>R35 STOP-Bang Questionnaire。发布：原开发团队 Toronto Western Hospital；正式年份：在线版本；实施：不适用；版本：成人原版问卷；中文译版需标明。适用：8项OSA筛查输入及分数；筛查不确诊。主要适用章节：本模块评估、管理及对应模板；核验：2026-10-29，原站问卷入口与ATS资源确认；本库不复制授权图表。</w:t>
      </w:r>
    </w:p>
    <w:p>
      <w:hyperlink r:id="rId15">
        <w:r>
          <w:rPr>
            <w:sz w:val="20"/>
          </w:rPr>
          <w:t>正式来源 R35</w:t>
        </w:r>
      </w:hyperlink>
    </w:p>
    <w:p>
      <w:r>
        <w:t>R13 Fifth Consensus Guidelines for the Management of Postoperative Nausea and Vomiting Executive Summary。发布：共识工作组 Anesthesia &amp; Analgesia；正式年份：2025-11-14在线；2026正式卷期；实施：无独立实施日；版本：第五版 DOI 10.1213/ANE.0000000000007816。适用：PONV风险、预防与治疗文书框架。主要适用章节：本模块评估、管理及对应模板；核验：2026-10-29，PubMed及期刊元数据；不据摘要补造剂量或推荐等级。</w:t>
      </w:r>
    </w:p>
    <w:p>
      <w:hyperlink r:id="rId16">
        <w:r>
          <w:rPr>
            <w:sz w:val="20"/>
          </w:rPr>
          <w:t>正式来源 R13</w:t>
        </w:r>
      </w:hyperlink>
    </w:p>
    <w:p>
      <w:r>
        <w:t>R37 A simplified risk score for predicting postoperative nausea and vomiting。发布：Apfel等 Anesthesiology；正式年份：1999-09；实施：无独立实施日；版本：DOI 10.1097/00000542-199909000-00022。适用：成人Apfel四项风险，分数不等于个体准确概率。主要适用章节：本模块评估、管理及对应模板；核验：2026-10-29，原始研究PubMed摘要。</w:t>
      </w:r>
    </w:p>
    <w:p>
      <w:hyperlink r:id="rId17">
        <w:r>
          <w:rPr>
            <w:sz w:val="20"/>
          </w:rPr>
          <w:t>正式来源 R37</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basic-standards-for-preanesthesia-care" TargetMode="External"/><Relationship Id="rId13" Type="http://schemas.openxmlformats.org/officeDocument/2006/relationships/hyperlink" Target="https://doi.org/10.1097/AO9.0000000000000002" TargetMode="External"/><Relationship Id="rId14" Type="http://schemas.openxmlformats.org/officeDocument/2006/relationships/hyperlink" Target="https://professional.heart.org/en/science-news/2026-guideline-for-perioperative-cardiovascular-management-for-noncardiac-surgery" TargetMode="External"/><Relationship Id="rId15" Type="http://schemas.openxmlformats.org/officeDocument/2006/relationships/hyperlink" Target="https://www.stopbang.ca/" TargetMode="External"/><Relationship Id="rId16" Type="http://schemas.openxmlformats.org/officeDocument/2006/relationships/hyperlink" Target="https://pubmed.ncbi.nlm.nih.gov/41237407/" TargetMode="External"/><Relationship Id="rId17" Type="http://schemas.openxmlformats.org/officeDocument/2006/relationships/hyperlink" Target="https://pubmed.ncbi.nlm.nih.gov/10485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麻醉术前评估气道检查与围手术期风险分层模板库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