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麻醉危急事件异常病情及麻醉相关并发症病程模板库</w:t>
      </w:r>
    </w:p>
    <w:p>
      <w:pPr>
        <w:spacing w:after="180"/>
      </w:pPr>
      <w:r>
        <w:t>模块编号 06</w:t>
      </w:r>
    </w:p>
    <w:p>
      <w:pPr>
        <w:spacing w:after="180"/>
      </w:pPr>
      <w:r>
        <w:t>版本 V1.0    核验日期 2026年10月29日</w:t>
      </w:r>
    </w:p>
    <w:p>
      <w:pPr>
        <w:spacing w:after="180"/>
      </w:pPr>
      <w:r>
        <w:t>第二级 通用功能层</w:t>
      </w:r>
    </w:p>
    <w:p>
      <w:pPr>
        <w:spacing w:after="180"/>
      </w:pPr>
      <w:r>
        <w:t>使用对象 麻醉医师及病历质控人员</w:t>
      </w:r>
    </w:p>
    <w:p>
      <w:pPr>
        <w:spacing w:after="180"/>
      </w:pPr>
      <w:r>
        <w:t>交付性质 规则与模板库 需医师审核</w:t>
      </w:r>
    </w:p>
    <w:p>
      <w:r>
        <w:t>优先现场救治，按异常证据、判断、执行、反应和交接生成危急事件记录。本模块将医学资料、临床判断和实际执行分开，为本次麻醉事件生成可追溯的待审文书；关键缺失或冲突须核实后才能形成完整净稿。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急变识别与记录闭环</w:t>
        </w:r>
      </w:hyperlink>
    </w:p>
    <w:p>
      <w:pPr>
        <w:spacing w:after="60"/>
      </w:pPr>
      <w:hyperlink w:anchor="chapter3">
        <w:r>
          <w:t>四 35类异常及并发症模板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优先现场救治，按异常证据、判断、执行、反应和交接生成危急事件记录。本模块面向中国医院麻醉医师及病历质控人员，提供待人工审核的规则和模板。版本V1.0，建设及规范核验日期2026年10月29日，尚未经过医院临床上线验收。</w:t>
      </w:r>
    </w:p>
    <w:p>
      <w:r>
        <w:t>适用范围及触发：当任务涉及优先现场救治时，由00及11按最小充分原则调用。专病模块服务于具体麻醉技术和人群，不能覆盖01的真实性要求。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急变识别与记录闭环</w:t>
      </w:r>
      <w:bookmarkEnd w:id="2"/>
    </w:p>
    <w:p>
      <w:r>
        <w:t>现场发现危急变化立即由现场团队评估并按获批规程实施救治；记录不得延误急救。本库列出需要保留的证据和执行项目，不发出个体化抢救剂量或设备命令。严重低氧低压可有设备原因，不能因等待文书核实而延迟临床支持，也不能在记录中跳过未完成的鉴别。</w:t>
      </w:r>
    </w:p>
    <w:p>
      <w:r>
        <w:t>抢救后无法及时书写的记录，按WS 329第6.4.12在抢救结束6h内据实补记并说明。保留事件时间、补记时间、原因、原始抢救来源、人员及结果；不能倒改为现场即时记录，也不把超时隐藏。</w:t>
      </w:r>
    </w:p>
    <w:p>
      <w:bookmarkStart w:id="3" w:name="chapter3"/>
      <w:pPr>
        <w:pStyle w:val="Heading1"/>
      </w:pPr>
      <w:r>
        <w:t>四 35类异常及并发症模板</w:t>
      </w:r>
      <w:bookmarkEnd w:id="3"/>
    </w:p>
    <w:p>
      <w:pPr>
        <w:pStyle w:val="Heading2"/>
      </w:pPr>
      <w:r>
        <w:t>01 困难面罩通气</w:t>
      </w:r>
    </w:p>
    <w:p>
      <w:r>
        <w:t>识别证据：密闭、胸廓与通气波形，单次低SpO2不足以判定。实际处理记录重点：辅助通气及气道升级逐次留痕。复评与转归：通气有效性、氧合及后续气道。</w:t>
      </w:r>
    </w:p>
    <w:p>
      <w:pPr>
        <w:keepNext/>
      </w:pPr>
      <w:r>
        <w:rPr>
          <w:rFonts w:ascii="宋体" w:hAnsi="宋体" w:eastAsia="宋体"/>
          <w:b/>
          <w:color w:val="000000"/>
          <w:sz w:val="21"/>
        </w:rPr>
        <w:t>【日期 时间】 困难面罩通气记录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密闭、胸廓与通气波形，单次低SpO2不足以判定】，资料来源【来源及有效性】；责任医师考虑【判断与确定度】，已于【时间】实施【辅助通气及气道升级逐次留痕】，后于【时间】复评【通气有效性、氧合及后续气道】，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02 困难气管插管</w:t>
      </w:r>
    </w:p>
    <w:p>
      <w:r>
        <w:t>识别证据：每次喉镜或插管尝试及实际确认资料。实际处理记录重点：尝试数、操作者、器械、复氧及转换。复评与转归：最终气道、创伤和困难标识。</w:t>
      </w:r>
    </w:p>
    <w:p>
      <w:pPr>
        <w:keepNext/>
      </w:pPr>
      <w:r>
        <w:rPr>
          <w:rFonts w:ascii="宋体" w:hAnsi="宋体" w:eastAsia="宋体"/>
          <w:b/>
          <w:color w:val="000000"/>
          <w:sz w:val="21"/>
        </w:rPr>
        <w:t>【日期 时间】 困难气管插管记录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每次喉镜或插管尝试及实际确认资料】，资料来源【来源及有效性】；责任医师考虑【判断与确定度】，已于【时间】实施【尝试数、操作者、器械、复氧及转换】，后于【时间】复评【最终气道、创伤和困难标识】，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03 氧合失败</w:t>
      </w:r>
    </w:p>
    <w:p>
      <w:r>
        <w:t>识别证据：气道、供氧回路与有效氧合证据。实际处理记录重点：呼救、复氧、气道救援及原因排查。复评与转归：氧合趋势、通气与去向。</w:t>
      </w:r>
    </w:p>
    <w:p>
      <w:pPr>
        <w:keepNext/>
      </w:pPr>
      <w:r>
        <w:rPr>
          <w:rFonts w:ascii="宋体" w:hAnsi="宋体" w:eastAsia="宋体"/>
          <w:b/>
          <w:color w:val="000000"/>
          <w:sz w:val="21"/>
        </w:rPr>
        <w:t>【日期 时间】 氧合失败记录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气道、供氧回路与有效氧合证据】，资料来源【来源及有效性】；责任医师考虑【判断与确定度】，已于【时间】实施【呼救、复氧、气道救援及原因排查】，后于【时间】复评【氧合趋势、通气与去向】，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04 严重低氧血症</w:t>
      </w:r>
    </w:p>
    <w:p>
      <w:r>
        <w:t>识别证据：有效SpO2或动脉血气、波形及持续时间。实际处理记录重点：氧疗通气支持、排查和原因处理。复评与转归：恢复程度、FiO2与血气可用时点。</w:t>
      </w:r>
    </w:p>
    <w:p>
      <w:pPr>
        <w:keepNext/>
      </w:pPr>
      <w:r>
        <w:rPr>
          <w:rFonts w:ascii="宋体" w:hAnsi="宋体" w:eastAsia="宋体"/>
          <w:b/>
          <w:color w:val="000000"/>
          <w:sz w:val="21"/>
        </w:rPr>
        <w:t>【日期 时间】 严重低氧血症记录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有效SpO2或动脉血气、波形及持续时间】，资料来源【来源及有效性】；责任医师考虑【判断与确定度】，已于【时间】实施【氧疗通气支持、排查和原因处理】，后于【时间】复评【恢复程度、FiO2与血气可用时点】，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05 误吸</w:t>
      </w:r>
    </w:p>
    <w:p>
      <w:r>
        <w:t>识别证据：目击反流、气道内容物和呼吸表现。实际处理记录重点：吸引及气道保护、呼吸支持事实。复评与转归：呼吸恶化、影像及交接。</w:t>
      </w:r>
    </w:p>
    <w:p>
      <w:pPr>
        <w:keepNext/>
      </w:pPr>
      <w:r>
        <w:rPr>
          <w:rFonts w:ascii="宋体" w:hAnsi="宋体" w:eastAsia="宋体"/>
          <w:b/>
          <w:color w:val="000000"/>
          <w:sz w:val="21"/>
        </w:rPr>
        <w:t>【日期 时间】 误吸记录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目击反流、气道内容物和呼吸表现】，资料来源【来源及有效性】；责任医师考虑【判断与确定度】，已于【时间】实施【吸引及气道保护、呼吸支持事实】，后于【时间】复评【呼吸恶化、影像及交接】，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06 喉痉挛</w:t>
      </w:r>
    </w:p>
    <w:p>
      <w:r>
        <w:t>识别证据：呼吸努力、声门或胸廓表现及通气阻断。实际处理记录重点：解除刺激、通气支持及实际用药。复评与转归：通气、氧合和复发。</w:t>
      </w:r>
    </w:p>
    <w:p>
      <w:pPr>
        <w:keepNext/>
      </w:pPr>
      <w:r>
        <w:rPr>
          <w:rFonts w:ascii="宋体" w:hAnsi="宋体" w:eastAsia="宋体"/>
          <w:b/>
          <w:color w:val="000000"/>
          <w:sz w:val="21"/>
        </w:rPr>
        <w:t>【日期 时间】 喉痉挛记录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呼吸努力、声门或胸廓表现及通气阻断】，资料来源【来源及有效性】；责任医师考虑【判断与确定度】，已于【时间】实施【解除刺激、通气支持及实际用药】，后于【时间】复评【通气、氧合和复发】，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07 支气管痉挛</w:t>
      </w:r>
    </w:p>
    <w:p>
      <w:r>
        <w:t>识别证据：听诊、呼气流量波形、气道压及导管回路。实际处理记录重点：原因排查、支气管治疗及通气调整。复评与转归：气道压、呼出气CO2和氧合。</w:t>
      </w:r>
    </w:p>
    <w:p>
      <w:pPr>
        <w:keepNext/>
      </w:pPr>
      <w:r>
        <w:rPr>
          <w:rFonts w:ascii="宋体" w:hAnsi="宋体" w:eastAsia="宋体"/>
          <w:b/>
          <w:color w:val="000000"/>
          <w:sz w:val="21"/>
        </w:rPr>
        <w:t>【日期 时间】 支气管痉挛记录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听诊、呼气流量波形、气道压及导管回路】，资料来源【来源及有效性】；责任医师考虑【判断与确定度】，已于【时间】实施【原因排查、支气管治疗及通气调整】，后于【时间】复评【气道压、呼出气CO2和氧合】，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08 急性呼吸衰竭</w:t>
      </w:r>
    </w:p>
    <w:p>
      <w:r>
        <w:t>识别证据：动脉血气、呼吸临床表现与支持需求。实际处理记录重点：实际气道和呼吸支持，不由单指标定型。复评与转归：氧合通气、支持水平及ICU。</w:t>
      </w:r>
    </w:p>
    <w:p>
      <w:pPr>
        <w:keepNext/>
      </w:pPr>
      <w:r>
        <w:rPr>
          <w:rFonts w:ascii="宋体" w:hAnsi="宋体" w:eastAsia="宋体"/>
          <w:b/>
          <w:color w:val="000000"/>
          <w:sz w:val="21"/>
        </w:rPr>
        <w:t>【日期 时间】 急性呼吸衰竭记录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动脉血气、呼吸临床表现与支持需求】，资料来源【来源及有效性】；责任医师考虑【判断与确定度】，已于【时间】实施【实际气道和呼吸支持，不由单指标定型】，后于【时间】复评【氧合通气、支持水平及ICU】，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09 严重低血压</w:t>
      </w:r>
    </w:p>
    <w:p>
      <w:r>
        <w:t>识别证据：测量条件、血压趋势、灌注和病因线索。实际处理记录重点：容量、血管活性或其他支持按实际写。复评与转归：灌注和循环反应、未明原因。</w:t>
      </w:r>
    </w:p>
    <w:p>
      <w:pPr>
        <w:keepNext/>
      </w:pPr>
      <w:r>
        <w:rPr>
          <w:rFonts w:ascii="宋体" w:hAnsi="宋体" w:eastAsia="宋体"/>
          <w:b/>
          <w:color w:val="000000"/>
          <w:sz w:val="21"/>
        </w:rPr>
        <w:t>【日期 时间】 严重低血压记录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测量条件、血压趋势、灌注和病因线索】，资料来源【来源及有效性】；责任医师考虑【判断与确定度】，已于【时间】实施【容量、血管活性或其他支持按实际写】，后于【时间】复评【灌注和循环反应、未明原因】，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10 严重高血压</w:t>
      </w:r>
    </w:p>
    <w:p>
      <w:r>
        <w:t>识别证据：测量复核、症状、手术和药物时序。实际处理记录重点：已执行的降压、镇痛或原因处理。复评与转归：循环、神经及心肌风险。</w:t>
      </w:r>
    </w:p>
    <w:p>
      <w:pPr>
        <w:keepNext/>
      </w:pPr>
      <w:r>
        <w:rPr>
          <w:rFonts w:ascii="宋体" w:hAnsi="宋体" w:eastAsia="宋体"/>
          <w:b/>
          <w:color w:val="000000"/>
          <w:sz w:val="21"/>
        </w:rPr>
        <w:t>【日期 时间】 严重高血压记录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测量复核、症状、手术和药物时序】，资料来源【来源及有效性】；责任医师考虑【判断与确定度】，已于【时间】实施【已执行的降压、镇痛或原因处理】，后于【时间】复评【循环、神经及心肌风险】，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11 严重心律失常</w:t>
      </w:r>
    </w:p>
    <w:p>
      <w:r>
        <w:t>识别证据：ECG节律与脉搏、灌注，非仅机器报警。实际处理记录重点：药物、电治疗和装置处理的执行资料。复评与转归：节律恢复、循环和复发。</w:t>
      </w:r>
    </w:p>
    <w:p>
      <w:pPr>
        <w:keepNext/>
      </w:pPr>
      <w:r>
        <w:rPr>
          <w:rFonts w:ascii="宋体" w:hAnsi="宋体" w:eastAsia="宋体"/>
          <w:b/>
          <w:color w:val="000000"/>
          <w:sz w:val="21"/>
        </w:rPr>
        <w:t>【日期 时间】 严重心律失常记录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ECG节律与脉搏、灌注，非仅机器报警】，资料来源【来源及有效性】；责任医师考虑【判断与确定度】，已于【时间】实施【药物、电治疗和装置处理的执行资料】，后于【时间】复评【节律恢复、循环和复发】，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12 心动过缓</w:t>
      </w:r>
    </w:p>
    <w:p>
      <w:r>
        <w:t>识别证据：心率与灌注、刺激及药物时序。实际处理记录重点：刺激处理、药物或起搏实际事件。复评与转归：循环、节律和复发原因。</w:t>
      </w:r>
    </w:p>
    <w:p>
      <w:pPr>
        <w:keepNext/>
      </w:pPr>
      <w:r>
        <w:rPr>
          <w:rFonts w:ascii="宋体" w:hAnsi="宋体" w:eastAsia="宋体"/>
          <w:b/>
          <w:color w:val="000000"/>
          <w:sz w:val="21"/>
        </w:rPr>
        <w:t>【日期 时间】 心动过缓记录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心率与灌注、刺激及药物时序】，资料来源【来源及有效性】；责任医师考虑【判断与确定度】，已于【时间】实施【刺激处理、药物或起搏实际事件】，后于【时间】复评【循环、节律和复发原因】，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13 心脏骤停</w:t>
      </w:r>
    </w:p>
    <w:p>
      <w:r>
        <w:t>识别证据：脉搏或有创循环、意识与节律判断。实际处理记录重点：按压、除颤、药物及气道逐时执行。复评与转归：ROSC证据或终止决定、后续支持。</w:t>
      </w:r>
    </w:p>
    <w:p>
      <w:pPr>
        <w:keepNext/>
      </w:pPr>
      <w:r>
        <w:rPr>
          <w:rFonts w:ascii="宋体" w:hAnsi="宋体" w:eastAsia="宋体"/>
          <w:b/>
          <w:color w:val="000000"/>
          <w:sz w:val="21"/>
        </w:rPr>
        <w:t>【日期 时间】 心脏骤停记录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脉搏或有创循环、意识与节律判断】，资料来源【来源及有效性】；责任医师考虑【判断与确定度】，已于【时间】实施【按压、除颤、药物及气道逐时执行】，后于【时间】复评【ROSC证据或终止决定、后续支持】，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14 失血性休克</w:t>
      </w:r>
    </w:p>
    <w:p>
      <w:r>
        <w:t>识别证据：失血来源、循环灌注、Hb与乳酸动态。实际处理记录重点：实际止血协作、复苏和输血。复评与转归：持续出血、凝血和器官灌注。</w:t>
      </w:r>
    </w:p>
    <w:p>
      <w:pPr>
        <w:keepNext/>
      </w:pPr>
      <w:r>
        <w:rPr>
          <w:rFonts w:ascii="宋体" w:hAnsi="宋体" w:eastAsia="宋体"/>
          <w:b/>
          <w:color w:val="000000"/>
          <w:sz w:val="21"/>
        </w:rPr>
        <w:t>【日期 时间】 失血性休克记录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失血来源、循环灌注、Hb与乳酸动态】，资料来源【来源及有效性】；责任医师考虑【判断与确定度】，已于【时间】实施【实际止血协作、复苏和输血】，后于【时间】复评【持续出血、凝血和器官灌注】，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15 严重出血</w:t>
      </w:r>
    </w:p>
    <w:p>
      <w:r>
        <w:t>识别证据：出血估量方法、阶段和标本采样。实际处理记录重点：止血沟通、血制品与复苏实际执行。复评与转归：出血速度、Hb及凝血趋势。</w:t>
      </w:r>
    </w:p>
    <w:p>
      <w:pPr>
        <w:keepNext/>
      </w:pPr>
      <w:r>
        <w:rPr>
          <w:rFonts w:ascii="宋体" w:hAnsi="宋体" w:eastAsia="宋体"/>
          <w:b/>
          <w:color w:val="000000"/>
          <w:sz w:val="21"/>
        </w:rPr>
        <w:t>【日期 时间】 严重出血记录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出血估量方法、阶段和标本采样】，资料来源【来源及有效性】；责任医师考虑【判断与确定度】，已于【时间】实施【止血沟通、血制品与复苏实际执行】，后于【时间】复评【出血速度、Hb及凝血趋势】，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16 输血相关不良反应</w:t>
      </w:r>
    </w:p>
    <w:p>
      <w:r>
        <w:t>识别证据：制品、血型、输注时序及症状。实际处理记录重点：停输、核对、处置和样本送检状态。复评与转归：反应演变及输血科交接。</w:t>
      </w:r>
    </w:p>
    <w:p>
      <w:pPr>
        <w:keepNext/>
      </w:pPr>
      <w:r>
        <w:rPr>
          <w:rFonts w:ascii="宋体" w:hAnsi="宋体" w:eastAsia="宋体"/>
          <w:b/>
          <w:color w:val="000000"/>
          <w:sz w:val="21"/>
        </w:rPr>
        <w:t>【日期 时间】 输血相关不良反应记录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制品、血型、输注时序及症状】，资料来源【来源及有效性】；责任医师考虑【判断与确定度】，已于【时间】实施【停输、核对、处置和样本送检状态】，后于【时间】复评【反应演变及输血科交接】，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17 过敏反应</w:t>
      </w:r>
    </w:p>
    <w:p>
      <w:r>
        <w:t>识别证据：皮肤、呼吸、循环及暴露时序。实际处理记录重点：已执行停止可疑暴露、支持与医师评估。复评与转归：表型、标本及专科随访。</w:t>
      </w:r>
    </w:p>
    <w:p>
      <w:pPr>
        <w:keepNext/>
      </w:pPr>
      <w:r>
        <w:rPr>
          <w:rFonts w:ascii="宋体" w:hAnsi="宋体" w:eastAsia="宋体"/>
          <w:b/>
          <w:color w:val="000000"/>
          <w:sz w:val="21"/>
        </w:rPr>
        <w:t>【日期 时间】 过敏反应记录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皮肤、呼吸、循环及暴露时序】，资料来源【来源及有效性】；责任医师考虑【判断与确定度】，已于【时间】实施【已执行停止可疑暴露、支持与医师评估】，后于【时间】复评【表型、标本及专科随访】，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18 过敏性休克</w:t>
      </w:r>
    </w:p>
    <w:p>
      <w:r>
        <w:t>识别证据：严重循环或呼吸损害、相关暴露与鉴别。实际处理记录重点：紧急支持及实际药物浓度剂量途径。复评与转归：灌注、呼吸、复发和ICU。</w:t>
      </w:r>
    </w:p>
    <w:p>
      <w:pPr>
        <w:keepNext/>
      </w:pPr>
      <w:r>
        <w:rPr>
          <w:rFonts w:ascii="宋体" w:hAnsi="宋体" w:eastAsia="宋体"/>
          <w:b/>
          <w:color w:val="000000"/>
          <w:sz w:val="21"/>
        </w:rPr>
        <w:t>【日期 时间】 过敏性休克记录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严重循环或呼吸损害、相关暴露与鉴别】，资料来源【来源及有效性】；责任医师考虑【判断与确定度】，已于【时间】实施【紧急支持及实际药物浓度剂量途径】，后于【时间】复评【灌注、呼吸、复发和ICU】，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19 局部麻醉药全身毒性</w:t>
      </w:r>
    </w:p>
    <w:p>
      <w:r>
        <w:t>识别证据：全部局麻暴露、意识惊厥与循环改变。实际处理记录重点：呼救、呼吸循环支持及实际脂肪乳等执行。复评与转归：复发、心律、局麻总量与去向。</w:t>
      </w:r>
    </w:p>
    <w:p>
      <w:pPr>
        <w:keepNext/>
      </w:pPr>
      <w:r>
        <w:rPr>
          <w:rFonts w:ascii="宋体" w:hAnsi="宋体" w:eastAsia="宋体"/>
          <w:b/>
          <w:color w:val="000000"/>
          <w:sz w:val="21"/>
        </w:rPr>
        <w:t>【日期 时间】 局部麻醉药全身毒性记录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全部局麻暴露、意识惊厥与循环改变】，资料来源【来源及有效性】；责任医师考虑【判断与确定度】，已于【时间】实施【呼救、呼吸循环支持及实际脂肪乳等执行】，后于【时间】复评【复发、心律、局麻总量与去向】，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20 恶性高热</w:t>
      </w:r>
    </w:p>
    <w:p>
      <w:r>
        <w:t>识别证据：诱发药暴露、EtCO2趋势、肌强直及代谢资料。实际处理记录重点：现场应急、停诱发药及实际特殊药物。复评与转归：体温、血气、钾、尿与持续监护。</w:t>
      </w:r>
    </w:p>
    <w:p>
      <w:pPr>
        <w:keepNext/>
      </w:pPr>
      <w:r>
        <w:rPr>
          <w:rFonts w:ascii="宋体" w:hAnsi="宋体" w:eastAsia="宋体"/>
          <w:b/>
          <w:color w:val="000000"/>
          <w:sz w:val="21"/>
        </w:rPr>
        <w:t>【日期 时间】 恶性高热记录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诱发药暴露、EtCO2趋势、肌强直及代谢资料】，资料来源【来源及有效性】；责任医师考虑【判断与确定度】，已于【时间】实施【现场应急、停诱发药及实际特殊药物】，后于【时间】复评【体温、血气、钾、尿与持续监护】，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21 高钾血症及其他严重电解质紊乱</w:t>
      </w:r>
    </w:p>
    <w:p>
      <w:r>
        <w:t>识别证据：标本类型、溶血可能、ECG及钾和其他电解质。实际处理记录重点：已执行复核、治疗、复查和监测。复评与转归：ECG与复检变化、持续危险。</w:t>
      </w:r>
    </w:p>
    <w:p>
      <w:pPr>
        <w:keepNext/>
      </w:pPr>
      <w:r>
        <w:rPr>
          <w:rFonts w:ascii="宋体" w:hAnsi="宋体" w:eastAsia="宋体"/>
          <w:b/>
          <w:color w:val="000000"/>
          <w:sz w:val="21"/>
        </w:rPr>
        <w:t>【日期 时间】 高钾血症及其他严重电解质紊乱记录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标本类型、溶血可能、ECG及钾和其他电解质】，资料来源【来源及有效性】；责任医师考虑【判断与确定度】，已于【时间】实施【已执行复核、治疗、复查和监测】，后于【时间】复评【ECG与复检变化、持续危险】，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22 严重酸碱平衡紊乱</w:t>
      </w:r>
    </w:p>
    <w:p>
      <w:r>
        <w:t>识别证据：采样类型、pH、PaCO2、HCO3与乳酸条件。实际处理记录重点：已执行的病因和通气循环处理。复评与转归：重复血气与采样时点。</w:t>
      </w:r>
    </w:p>
    <w:p>
      <w:pPr>
        <w:keepNext/>
      </w:pPr>
      <w:r>
        <w:rPr>
          <w:rFonts w:ascii="宋体" w:hAnsi="宋体" w:eastAsia="宋体"/>
          <w:b/>
          <w:color w:val="000000"/>
          <w:sz w:val="21"/>
        </w:rPr>
        <w:t>【日期 时间】 严重酸碱平衡紊乱记录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采样类型、pH、PaCO2、HCO3与乳酸条件】，资料来源【来源及有效性】；责任医师考虑【判断与确定度】，已于【时间】实施【已执行的病因和通气循环处理】，后于【时间】复评【重复血气与采样时点】，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23 麻醉相关低体温</w:t>
      </w:r>
    </w:p>
    <w:p>
      <w:r>
        <w:t>识别证据：测温部位设备、暴露与真实趋势。实际处理记录重点：实际保温及相关管理。复评与转归：体温、凝血和恢复。</w:t>
      </w:r>
    </w:p>
    <w:p>
      <w:pPr>
        <w:keepNext/>
      </w:pPr>
      <w:r>
        <w:rPr>
          <w:rFonts w:ascii="宋体" w:hAnsi="宋体" w:eastAsia="宋体"/>
          <w:b/>
          <w:color w:val="000000"/>
          <w:sz w:val="21"/>
        </w:rPr>
        <w:t>【日期 时间】 麻醉相关低体温记录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测温部位设备、暴露与真实趋势】，资料来源【来源及有效性】；责任医师考虑【判断与确定度】，已于【时间】实施【实际保温及相关管理】，后于【时间】复评【体温、凝血和恢复】，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24 术中知晓相关病例</w:t>
      </w:r>
    </w:p>
    <w:p>
      <w:r>
        <w:t>识别证据：患者术后体验陈述、麻醉执行及设备资料。实际处理记录重点：访谈、情绪支持、报告与复核状态。复评与转归：持续症状及后续心理支持。</w:t>
      </w:r>
    </w:p>
    <w:p>
      <w:pPr>
        <w:keepNext/>
      </w:pPr>
      <w:r>
        <w:rPr>
          <w:rFonts w:ascii="宋体" w:hAnsi="宋体" w:eastAsia="宋体"/>
          <w:b/>
          <w:color w:val="000000"/>
          <w:sz w:val="21"/>
        </w:rPr>
        <w:t>【日期 时间】 术中知晓相关病例记录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患者术后体验陈述、麻醉执行及设备资料】，资料来源【来源及有效性】；责任医师考虑【判断与确定度】，已于【时间】实施【访谈、情绪支持、报告与复核状态】，后于【时间】复评【持续症状及后续心理支持】，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25 术后苏醒延迟</w:t>
      </w:r>
    </w:p>
    <w:p>
      <w:r>
        <w:t>识别证据：末次药物、意识神经、体温血糖和血气。实际处理记录重点：气道支持、原因排查与实际处理。复评与转归：意识、通气及新神经体征。</w:t>
      </w:r>
    </w:p>
    <w:p>
      <w:pPr>
        <w:keepNext/>
      </w:pPr>
      <w:r>
        <w:rPr>
          <w:rFonts w:ascii="宋体" w:hAnsi="宋体" w:eastAsia="宋体"/>
          <w:b/>
          <w:color w:val="000000"/>
          <w:sz w:val="21"/>
        </w:rPr>
        <w:t>【日期 时间】 术后苏醒延迟记录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末次药物、意识神经、体温血糖和血气】，资料来源【来源及有效性】；责任医师考虑【判断与确定度】，已于【时间】实施【气道支持、原因排查与实际处理】，后于【时间】复评【意识、通气及新神经体征】，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26 残余神经肌肉阻滞</w:t>
      </w:r>
    </w:p>
    <w:p>
      <w:r>
        <w:t>识别证据：肌松给药、定量监测部位方法和比值。实际处理记录重点：实际支持、拮抗药及复测。复评与转归：恢复证据、气道和再插管风险。</w:t>
      </w:r>
    </w:p>
    <w:p>
      <w:pPr>
        <w:keepNext/>
      </w:pPr>
      <w:r>
        <w:rPr>
          <w:rFonts w:ascii="宋体" w:hAnsi="宋体" w:eastAsia="宋体"/>
          <w:b/>
          <w:color w:val="000000"/>
          <w:sz w:val="21"/>
        </w:rPr>
        <w:t>【日期 时间】 残余神经肌肉阻滞记录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肌松给药、定量监测部位方法和比值】，资料来源【来源及有效性】；责任医师考虑【判断与确定度】，已于【时间】实施【实际支持、拮抗药及复测】，后于【时间】复评【恢复证据、气道和再插管风险】，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27 非计划再次气管插管</w:t>
      </w:r>
    </w:p>
    <w:p>
      <w:r>
        <w:t>识别证据：拔管与再次插管时点、原因与氧合。实际处理记录重点：实际重新建立气道及药物逐项记录。复评与转归：导管确认、复评与转运。</w:t>
      </w:r>
    </w:p>
    <w:p>
      <w:pPr>
        <w:keepNext/>
      </w:pPr>
      <w:r>
        <w:rPr>
          <w:rFonts w:ascii="宋体" w:hAnsi="宋体" w:eastAsia="宋体"/>
          <w:b/>
          <w:color w:val="000000"/>
          <w:sz w:val="21"/>
        </w:rPr>
        <w:t>【日期 时间】 非计划再次气管插管记录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拔管与再次插管时点、原因与氧合】，资料来源【来源及有效性】；责任医师考虑【判断与确定度】，已于【时间】实施【实际重新建立气道及药物逐项记录】，后于【时间】复评【导管确认、复评与转运】，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28 区域麻醉相关严重神经并发症</w:t>
      </w:r>
    </w:p>
    <w:p>
      <w:r>
        <w:t>识别证据：基线神经、抗栓、穿刺和症状发展。实际处理记录重点：现场复查、影像及急诊专科协作。复评与转归：肌力感觉括约肌及进展。</w:t>
      </w:r>
    </w:p>
    <w:p>
      <w:pPr>
        <w:keepNext/>
      </w:pPr>
      <w:r>
        <w:rPr>
          <w:rFonts w:ascii="宋体" w:hAnsi="宋体" w:eastAsia="宋体"/>
          <w:b/>
          <w:color w:val="000000"/>
          <w:sz w:val="21"/>
        </w:rPr>
        <w:t>【日期 时间】 区域麻醉相关严重神经并发症记录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基线神经、抗栓、穿刺和症状发展】，资料来源【来源及有效性】；责任医师考虑【判断与确定度】，已于【时间】实施【现场复查、影像及急诊专科协作】，后于【时间】复评【肌力感觉括约肌及进展】，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29 椎管内麻醉相关严重异常</w:t>
      </w:r>
    </w:p>
    <w:p>
      <w:r>
        <w:t>识别证据：实际平面、穿刺给药、循环和神经资料。实际处理记录重点：实际呼吸循环支持及病因鉴别。复评与转归：阻滞消退和新神经异常。</w:t>
      </w:r>
    </w:p>
    <w:p>
      <w:pPr>
        <w:keepNext/>
      </w:pPr>
      <w:r>
        <w:rPr>
          <w:rFonts w:ascii="宋体" w:hAnsi="宋体" w:eastAsia="宋体"/>
          <w:b/>
          <w:color w:val="000000"/>
          <w:sz w:val="21"/>
        </w:rPr>
        <w:t>【日期 时间】 椎管内麻醉相关严重异常记录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实际平面、穿刺给药、循环和神经资料】，资料来源【来源及有效性】；责任医师考虑【判断与确定度】，已于【时间】实施【实际呼吸循环支持及病因鉴别】，后于【时间】复评【阻滞消退和新神经异常】，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30 高位或全脊髓麻醉相关事件</w:t>
      </w:r>
    </w:p>
    <w:p>
      <w:r>
        <w:t>识别证据：阻滞快速上升、循环呼吸和意识改变。实际处理记录重点：呼救、实际气道和循环支持。复评与转归：通气循环、平面和去向。</w:t>
      </w:r>
    </w:p>
    <w:p>
      <w:pPr>
        <w:keepNext/>
      </w:pPr>
      <w:r>
        <w:rPr>
          <w:rFonts w:ascii="宋体" w:hAnsi="宋体" w:eastAsia="宋体"/>
          <w:b/>
          <w:color w:val="000000"/>
          <w:sz w:val="21"/>
        </w:rPr>
        <w:t>【日期 时间】 高位或全脊髓麻醉相关事件记录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阻滞快速上升、循环呼吸和意识改变】，资料来源【来源及有效性】；责任医师考虑【判断与确定度】，已于【时间】实施【呼救、实际气道和循环支持】，后于【时间】复评【通气循环、平面和去向】，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31 术后严重恶心呕吐</w:t>
      </w:r>
    </w:p>
    <w:p>
      <w:r>
        <w:t>识别证据：实际呕吐次数、恶心量表、补液及用药。实际处理记录重点：真实止吐、补液和其他原因评估。复评与转归：症状、误吸风险与出室适宜性。</w:t>
      </w:r>
    </w:p>
    <w:p>
      <w:pPr>
        <w:keepNext/>
      </w:pPr>
      <w:r>
        <w:rPr>
          <w:rFonts w:ascii="宋体" w:hAnsi="宋体" w:eastAsia="宋体"/>
          <w:b/>
          <w:color w:val="000000"/>
          <w:sz w:val="21"/>
        </w:rPr>
        <w:t>【日期 时间】 术后严重恶心呕吐记录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实际呕吐次数、恶心量表、补液及用药】，资料来源【来源及有效性】；责任医师考虑【判断与确定度】，已于【时间】实施【真实止吐、补液和其他原因评估】，后于【时间】复评【症状、误吸风险与出室适宜性】，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32 PACU呼吸循环异常</w:t>
      </w:r>
    </w:p>
    <w:p>
      <w:r>
        <w:t>识别证据：PACU时点、气道、氧疗与循环资料。实际处理记录重点：现场复核、气道循环支持及升级。复评与转归：恢复、持续支持及转出决定。</w:t>
      </w:r>
    </w:p>
    <w:p>
      <w:pPr>
        <w:keepNext/>
      </w:pPr>
      <w:r>
        <w:rPr>
          <w:rFonts w:ascii="宋体" w:hAnsi="宋体" w:eastAsia="宋体"/>
          <w:b/>
          <w:color w:val="000000"/>
          <w:sz w:val="21"/>
        </w:rPr>
        <w:t>【日期 时间】 PACU呼吸循环异常记录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PACU时点、气道、氧疗与循环资料】，资料来源【来源及有效性】；责任医师考虑【判断与确定度】，已于【时间】实施【现场复核、气道循环支持及升级】，后于【时间】复评【恢复、持续支持及转出决定】，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33 非计划转ICU</w:t>
      </w:r>
    </w:p>
    <w:p>
      <w:r>
        <w:t>识别证据：原计划与变更原因、实际病情和接收。实际处理记录重点：讨论、去向决定与真实ICU转运。复评与转归：接收状态、持续药物与责任。</w:t>
      </w:r>
    </w:p>
    <w:p>
      <w:pPr>
        <w:keepNext/>
      </w:pPr>
      <w:r>
        <w:rPr>
          <w:rFonts w:ascii="宋体" w:hAnsi="宋体" w:eastAsia="宋体"/>
          <w:b/>
          <w:color w:val="000000"/>
          <w:sz w:val="21"/>
        </w:rPr>
        <w:t>【日期 时间】 非计划转ICU记录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原计划与变更原因、实际病情和接收】，资料来源【来源及有效性】；责任医师考虑【判断与确定度】，已于【时间】实施【讨论、去向决定与真实ICU转运】，后于【时间】复评【接收状态、持续药物与责任】，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34 麻醉后严重神经功能异常</w:t>
      </w:r>
    </w:p>
    <w:p>
      <w:r>
        <w:t>识别证据：基线与术后神经查体、用药和事件。实际处理记录重点：紧急复评、检查和会诊实施。复评与转归：变化趋势及神经专科交接。</w:t>
      </w:r>
    </w:p>
    <w:p>
      <w:pPr>
        <w:keepNext/>
      </w:pPr>
      <w:r>
        <w:rPr>
          <w:rFonts w:ascii="宋体" w:hAnsi="宋体" w:eastAsia="宋体"/>
          <w:b/>
          <w:color w:val="000000"/>
          <w:sz w:val="21"/>
        </w:rPr>
        <w:t>【日期 时间】 麻醉后严重神经功能异常记录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基线与术后神经查体、用药和事件】，资料来源【来源及有效性】；责任医师考虑【判断与确定度】，已于【时间】实施【紧急复评、检查和会诊实施】，后于【时间】复评【变化趋势及神经专科交接】，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pPr>
        <w:pStyle w:val="Heading2"/>
      </w:pPr>
      <w:r>
        <w:t>35 麻醉相关死亡及重大安全事件</w:t>
      </w:r>
    </w:p>
    <w:p>
      <w:r>
        <w:t>识别证据：真实死亡或重大安全事件认定及原始资料。实际处理记录重点：抢救、沟通、上报和证据保全真实记录。复评与转归：责任流程及讨论状态，不由AI归责。</w:t>
      </w:r>
    </w:p>
    <w:p>
      <w:pPr>
        <w:keepNext/>
      </w:pPr>
      <w:r>
        <w:rPr>
          <w:rFonts w:ascii="宋体" w:hAnsi="宋体" w:eastAsia="宋体"/>
          <w:b/>
          <w:color w:val="000000"/>
          <w:sz w:val="21"/>
        </w:rPr>
        <w:t>【日期 时间】 麻醉相关死亡及重大安全事件记录</w:t>
      </w:r>
    </w:p>
    <w:p>
      <w:pPr>
        <w:keepNext/>
        <w:spacing w:after="0"/>
      </w:pPr>
      <w:r>
        <w:rPr>
          <w:rFonts w:ascii="宋体" w:hAnsi="宋体" w:eastAsia="宋体"/>
          <w:b w:val="0"/>
          <w:color w:val="000000"/>
          <w:sz w:val="18"/>
        </w:rPr>
        <w:t>```text</w:t>
      </w:r>
    </w:p>
    <w:p>
      <w:pPr>
        <w:keepNext/>
        <w:widowControl/>
        <w:spacing w:after="40" w:line="264" w:lineRule="auto"/>
        <w:ind w:left="142"/>
      </w:pPr>
      <w:r>
        <w:t>于【实际时点】出现【真实死亡或重大安全事件认定及原始资料】，资料来源【来源及有效性】；责任医师考虑【判断与确定度】，已于【时间】实施【抢救、沟通、上报和证据保全真实记录】，后于【时间】复评【责任流程及讨论状态，不由AI归责】，当前【未解决风险与去向】，已交接【对象及责任】。</w:t>
      </w:r>
    </w:p>
    <w:p>
      <w:pPr>
        <w:spacing w:before="0"/>
      </w:pPr>
      <w:r>
        <w:rPr>
          <w:rFonts w:ascii="宋体" w:hAnsi="宋体" w:eastAsia="宋体"/>
          <w:b w:val="0"/>
          <w:color w:val="000000"/>
          <w:sz w:val="18"/>
        </w:rPr>
        <w:t>```</w:t>
      </w:r>
    </w:p>
    <w:p>
      <w:r>
        <w:t>限制及质控：不因相关暴露自动确定因果，不将“准备处理”写成已抢救；核对原始监测、每次给药、操作时间及复评来源，证据缺失仅保留待核事实。</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低血压异常事件</w:t>
      </w:r>
    </w:p>
    <w:p>
      <w:pPr>
        <w:keepNext/>
        <w:spacing w:after="0"/>
      </w:pPr>
      <w:r>
        <w:rPr>
          <w:rFonts w:ascii="宋体" w:hAnsi="宋体" w:eastAsia="宋体"/>
          <w:b w:val="0"/>
          <w:color w:val="000000"/>
          <w:sz w:val="18"/>
        </w:rPr>
        <w:t>```text</w:t>
      </w:r>
    </w:p>
    <w:p>
      <w:pPr>
        <w:keepNext/>
        <w:widowControl/>
        <w:spacing w:after="40" w:line="264" w:lineRule="auto"/>
        <w:ind w:left="142"/>
      </w:pPr>
      <w:r>
        <w:t>模拟患者SIM-06于2026年10月21日08:20无创血压降至78/45mmHg、心率86次/min，设备记录SIM-MON06波形及袖带条件由现场人员复核，08:22复测80/46mmHg。责任医师考虑循环容量或血管张力变化可能，尚未确定单一病因；08:23已据执行表输入平衡盐溶液100mL，08:27复测98/60mmHg、心率80次/min。当前仍需结合手术出血、药物时序及循环评估复查，不据此次反应确诊低血容量或概括全程平稳。</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R11 2022 Practice Guidelines for Management of the Difficult Airway。发布：ASA；正式年份：2022；实施：期刊发表；版本：2022正式指南 DOI 10.1097/ALN.0000000000004002。适用：气道评估、计划、救援、拔管和随访记录。主要适用章节：本模块评估、管理及对应模板；核验：2026-10-29，正式期刊及ASA指南目录；本次未发现ASA后续替代正式版。</w:t>
      </w:r>
    </w:p>
    <w:p>
      <w:hyperlink r:id="rId12">
        <w:r>
          <w:rPr>
            <w:sz w:val="20"/>
          </w:rPr>
          <w:t>正式来源 R11</w:t>
        </w:r>
      </w:hyperlink>
    </w:p>
    <w:p>
      <w:r>
        <w:t>R15 Checklist for Treatment of Local Anesthetic Systemic Toxicity。发布：ASRA Pain Medicine；正式年份：2020-11-01；实施：无独立实施日；版本：2020版。适用：局麻药全身毒性识别、处置留痕和复评。主要适用章节：本模块评估、管理及对应模板；核验：2026-10-29，协会正式页面；2027拟更新不作为已发布版本。</w:t>
      </w:r>
    </w:p>
    <w:p>
      <w:hyperlink r:id="rId13">
        <w:r>
          <w:rPr>
            <w:sz w:val="20"/>
          </w:rPr>
          <w:t>正式来源 R15</w:t>
        </w:r>
      </w:hyperlink>
    </w:p>
    <w:p>
      <w:r>
        <w:t>R16 Managing A Crisis Emergency Treatment for An Acute MH Event。发布：MHAUS；正式年份：在线页面未列固定出版年；实施：不适用；版本：在线应急资源 核验2026-10-29。适用：恶性高热暴露、临床表现、处理及后续记录。主要适用章节：本模块评估、管理及对应模板；核验：2026-10-29，协会正式应急页面；不复制为本系统执行医嘱。</w:t>
      </w:r>
    </w:p>
    <w:p>
      <w:hyperlink r:id="rId14">
        <w:r>
          <w:rPr>
            <w:sz w:val="20"/>
          </w:rPr>
          <w:t>正式来源 R16</w:t>
        </w:r>
      </w:hyperlink>
    </w:p>
    <w:p>
      <w:r>
        <w:t>R17 Emergency treatment of peri-operative anaphylaxis。发布：RCUK与Perioperative Allergy Network；正式年份：2024；实施：无独立实施日；版本：DOI 10.1111/anae.16206。适用：围术期过敏反应鉴别、暴露时间轴及处理记录。主要适用章节：本模块评估、管理及对应模板；核验：2026-10-29，合作工作组正式期刊全文。</w:t>
      </w:r>
    </w:p>
    <w:p>
      <w:hyperlink r:id="rId15">
        <w:r>
          <w:rPr>
            <w:sz w:val="20"/>
          </w:rPr>
          <w:t>正式来源 R17</w:t>
        </w:r>
      </w:hyperlink>
    </w:p>
    <w:p>
      <w:r>
        <w:t>R18 Management of severe peri-operative bleeding。发布：ESAIC；正式年份：2023；实施：无独立实施日；版本：2022第二次更新 2023刊载。适用：出血、凝血、输血与复评。主要适用章节：本模块评估、管理及对应模板；核验：2026-10-29，协会发布说明及指南目录；具体制品阈值不内置。</w:t>
      </w:r>
    </w:p>
    <w:p>
      <w:hyperlink r:id="rId16">
        <w:r>
          <w:rPr>
            <w:sz w:val="20"/>
          </w:rPr>
          <w:t>正式来源 R18</w:t>
        </w:r>
      </w:hyperlink>
    </w:p>
    <w:p>
      <w:r>
        <w:t>R34 Cardiac arrest in the perioperative period。发布：ESAIC与ESTES等工作组；正式年份：2023；实施：无独立实施日；版本：2023共识指南。适用：围术期骤停记录、原因及复苏过程。主要适用章节：本模块评估、管理及对应模板；核验：2026-10-29，协会指南目录和原始资源；不替代本院当前复苏操作规程。</w:t>
      </w:r>
    </w:p>
    <w:p>
      <w:hyperlink r:id="rId17">
        <w:r>
          <w:rPr>
            <w:sz w:val="20"/>
          </w:rPr>
          <w:t>正式来源 R34</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doi.org/10.1097/ALN.0000000000004002" TargetMode="External"/><Relationship Id="rId13" Type="http://schemas.openxmlformats.org/officeDocument/2006/relationships/hyperlink" Target="https://asra.com/the-asra-family/special-interest-groups/cancer-pain-and-supportive-care-sig/cancer-pain-sig-article/guidelines/2020/11/01/checklist-for-treatment-of-local-anesthetic-systemic-toxicity" TargetMode="External"/><Relationship Id="rId14" Type="http://schemas.openxmlformats.org/officeDocument/2006/relationships/hyperlink" Target="https://www.mhaus.org/healthcare-professionals/managing-a-crisis/" TargetMode="External"/><Relationship Id="rId15" Type="http://schemas.openxmlformats.org/officeDocument/2006/relationships/hyperlink" Target="https://associationofanaesthetists-publications.onlinelibrary.wiley.com/doi/full/10.1111/anae.16206" TargetMode="External"/><Relationship Id="rId16" Type="http://schemas.openxmlformats.org/officeDocument/2006/relationships/hyperlink" Target="https://esaic.org/new-version-of-the-esaic-guidelines-on-severe-perioperative-bleeding-management/" TargetMode="External"/><Relationship Id="rId17" Type="http://schemas.openxmlformats.org/officeDocument/2006/relationships/hyperlink" Target="https://esaic.org/wp-content/uploads/2023/12/template-for-website-cardiac-arrest-or-complet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麻醉危急事件异常病情及麻醉相关并发症病程模板库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