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麻醉药物输液输血呼吸循环管理及医嘱表达规则库</w:t>
      </w:r>
    </w:p>
    <w:p>
      <w:pPr>
        <w:spacing w:after="180"/>
      </w:pPr>
      <w:r>
        <w:t>模块编号 07</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区分拟定、医嘱、配制、给药与输注变更，核对单位浓度及治疗真实状态。本模块将医学资料、临床判断和实际执行分开，为本次麻醉事件生成可追溯的待审文书；关键缺失或冲突须核实后才能形成完整净稿。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药物和输注状态规则</w:t>
        </w:r>
      </w:hyperlink>
    </w:p>
    <w:p>
      <w:pPr>
        <w:spacing w:after="60"/>
      </w:pPr>
      <w:hyperlink w:anchor="chapter3">
        <w:r>
          <w:t>四 26类药物及管理表达</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区分拟定、医嘱、配制、给药与输注变更，核对单位浓度及治疗真实状态。本模块面向中国医院麻醉医师及病历质控人员，提供待人工审核的规则和模板。版本V1.0，建设及规范核验日期2026年10月29日，尚未经过医院临床上线验收。</w:t>
      </w:r>
    </w:p>
    <w:p>
      <w:r>
        <w:t>适用范围及触发：当任务涉及区分拟定、医嘱、配制、给药与输注变更时，由00及11按最小充分原则调用。专病模块服务于具体麻醉技术和人群，不能覆盖01的真实性要求。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药物和输注状态规则</w:t>
      </w:r>
      <w:bookmarkEnd w:id="2"/>
    </w:p>
    <w:tbl>
      <w:tblPr>
        <w:tblW w:type="auto" w:w="0"/>
        <w:tblLayout w:type="fixed"/>
        <w:tblLook w:firstColumn="1" w:firstRow="1" w:lastColumn="0" w:lastRow="0" w:noHBand="0" w:noVBand="1" w:val="04A0"/>
      </w:tblPr>
      <w:tblGrid>
        <w:gridCol w:w="1701"/>
        <w:gridCol w:w="7767"/>
      </w:tblGrid>
      <w:tr>
        <w:trPr>
          <w:tblHeader/>
        </w:trP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状态</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60" w:line="264" w:lineRule="auto"/>
            </w:pPr>
            <w:r>
              <w:rPr>
                <w:rFonts w:ascii="宋体" w:hAnsi="宋体" w:eastAsia="宋体"/>
                <w:b/>
                <w:color w:val="000000"/>
                <w:sz w:val="19"/>
              </w:rPr>
              <w:t>必要证据及转移</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planned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医师拟定；不能计入实给</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ordered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正式医嘱；不证明执行</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prepared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配制浓度、总量、容器和核对；不证明输注</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administered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真实执行的药名剂量单位途径时间与人员来源</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infusing</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真实开始、配方浓度、泵速单位和通路</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adjusted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原速率与新速率、生效时间、理由及执行</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paused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实际暂停时间，未等于彻底停用</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stopped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实际停止时间与残液或累计证据</w:t>
            </w:r>
          </w:p>
        </w:tc>
      </w:tr>
      <w:tr>
        <w:tc>
          <w:tcPr>
            <w:tcW w:type="dxa" w:w="170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cancelled</w:t>
            </w:r>
          </w:p>
        </w:tc>
        <w:tc>
          <w:tcPr>
            <w:tcW w:type="dxa" w:w="776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64" w:lineRule="auto"/>
            </w:pPr>
            <w:r>
              <w:rPr>
                <w:rFonts w:ascii="宋体" w:hAnsi="宋体" w:eastAsia="宋体"/>
                <w:b w:val="0"/>
                <w:color w:val="000000"/>
                <w:sz w:val="19"/>
              </w:rPr>
              <w:t>取消原因，既往实际给药不可被取消抹除</w:t>
            </w:r>
          </w:p>
        </w:tc>
      </w:tr>
    </w:tbl>
    <w:p>
      <w:pPr>
        <w:spacing w:after="40"/>
      </w:pPr>
    </w:p>
    <w:p>
      <w:r>
        <w:t>给药事件字段：medication_event_id、药物通用名、执行状态、实际量和单位、原始浓度/体积、途径、通路、发生时间、执行人、source_id、核验状态。mg、μg、g及mL不可混用，mL/h与μg/kg/min不可混用。输注的每个起止变更事件独立保存，不从处方总量推实际输入量。</w:t>
      </w:r>
    </w:p>
    <w:p>
      <w:r>
        <w:t>仅在全部原始输入核实、单位明确且用途为病历算术复核时，可计算“浓度×实际体积”或分段“速率×实际时长”；保留原值与推导标识。体重基础必须注明实际/理想等，区间缺失不外推，转运泵记录不自动连续。计算不得转化为临床给药建议。</w:t>
      </w:r>
    </w:p>
    <w:p>
      <w:bookmarkStart w:id="3" w:name="chapter3"/>
      <w:pPr>
        <w:pStyle w:val="Heading1"/>
      </w:pPr>
      <w:r>
        <w:t>四 26类药物及管理表达</w:t>
      </w:r>
      <w:bookmarkEnd w:id="3"/>
    </w:p>
    <w:p>
      <w:pPr>
        <w:pStyle w:val="Heading2"/>
      </w:pPr>
      <w:r>
        <w:t>01 静脉麻醉药物</w:t>
      </w:r>
    </w:p>
    <w:p>
      <w:r>
        <w:t>执行依据：通用名、单次或输注、真实浓度和执行时间。相关观察：意识及循环反应；静脉通路与泵异常。真实性限制：不从全麻标签推算诱导药或剂量。模板：于【时间】按【经确认医嘱】实际实施【药物或措施、量单位途径】，来源【执行记录】，当时【条件与监测】，于【复评时间】见【反应】，目前【持续、调整或停止状态】。</w:t>
      </w:r>
    </w:p>
    <w:p>
      <w:pPr>
        <w:pStyle w:val="Heading2"/>
      </w:pPr>
      <w:r>
        <w:t>02 吸入麻醉药物</w:t>
      </w:r>
    </w:p>
    <w:p>
      <w:r>
        <w:t>执行依据：名称、吸入或呼出浓度、开始调整停止。相关观察：回路、吸入氧浓度及氧合通气。真实性限制：吸入浓度不能当作静脉mg量。模板：于【时间】按【经确认医嘱】实际实施【药物或措施、量单位途径】，来源【执行记录】，当时【条件与监测】，于【复评时间】见【反应】，目前【持续、调整或停止状态】。</w:t>
      </w:r>
    </w:p>
    <w:p>
      <w:pPr>
        <w:pStyle w:val="Heading2"/>
      </w:pPr>
      <w:r>
        <w:t>03 阿片类镇痛药</w:t>
      </w:r>
    </w:p>
    <w:p>
      <w:r>
        <w:t>执行依据：名称、剂量单位、途径、末次给药。相关观察：疼痛、镇静、呼吸及合并镇静药。真实性限制：未实施不写已镇痛，不能用嗜睡确诊过量。模板：于【时间】按【经确认医嘱】实际实施【药物或措施、量单位途径】，来源【执行记录】，当时【条件与监测】，于【复评时间】见【反应】，目前【持续、调整或停止状态】。</w:t>
      </w:r>
    </w:p>
    <w:p>
      <w:pPr>
        <w:pStyle w:val="Heading2"/>
      </w:pPr>
      <w:r>
        <w:t>04 非阿片镇痛药</w:t>
      </w:r>
    </w:p>
    <w:p>
      <w:r>
        <w:t>执行依据：适应情景、实际药名和执行。相关观察：肝肾、出血及过敏相关实查。真实性限制：不能因多模式计划补写用药。模板：于【时间】按【经确认医嘱】实际实施【药物或措施、量单位途径】，来源【执行记录】，当时【条件与监测】，于【复评时间】见【反应】，目前【持续、调整或停止状态】。</w:t>
      </w:r>
    </w:p>
    <w:p>
      <w:pPr>
        <w:pStyle w:val="Heading2"/>
      </w:pPr>
      <w:r>
        <w:t>05 肌松药</w:t>
      </w:r>
    </w:p>
    <w:p>
      <w:r>
        <w:t>执行依据：实际给药时间及追加记录。相关观察：监测方法部位、定量结果及通气。真实性限制：肌松存在不等于足够麻醉或镇痛。模板：于【时间】按【经确认医嘱】实际实施【药物或措施、量单位途径】，来源【执行记录】，当时【条件与监测】，于【复评时间】见【反应】，目前【持续、调整或停止状态】。</w:t>
      </w:r>
    </w:p>
    <w:p>
      <w:pPr>
        <w:pStyle w:val="Heading2"/>
      </w:pPr>
      <w:r>
        <w:t>06 肌松拮抗药</w:t>
      </w:r>
    </w:p>
    <w:p>
      <w:r>
        <w:t>执行依据：处方与实际给药分离、末次肌松。相关观察：拮抗前后定量与临床恢复。真实性限制：不给缺失TOF补0.9或1.0。模板：于【时间】按【经确认医嘱】实际实施【药物或措施、量单位途径】，来源【执行记录】，当时【条件与监测】，于【复评时间】见【反应】，目前【持续、调整或停止状态】。</w:t>
      </w:r>
    </w:p>
    <w:p>
      <w:pPr>
        <w:pStyle w:val="Heading2"/>
      </w:pPr>
      <w:r>
        <w:t>07 局部麻醉药</w:t>
      </w:r>
    </w:p>
    <w:p>
      <w:r>
        <w:t>执行依据：全部来源浓度体积质量、通路侧别。相关观察：神经症状、循环和总暴露。真实性限制：仅全部可比量核实才计算累计，禁止猜最大剂量。模板：于【时间】按【经确认医嘱】实际实施【药物或措施、量单位途径】，来源【执行记录】，当时【条件与监测】，于【复评时间】见【反应】，目前【持续、调整或停止状态】。</w:t>
      </w:r>
    </w:p>
    <w:p>
      <w:pPr>
        <w:pStyle w:val="Heading2"/>
      </w:pPr>
      <w:r>
        <w:t>08 镇静药物</w:t>
      </w:r>
    </w:p>
    <w:p>
      <w:r>
        <w:t>执行依据：目标深度与实际药物、途径和泵。相关观察：意识反应、呼吸、CO2监测可用性。真实性限制：镇静不等于全麻，目标不等于达到。模板：于【时间】按【经确认医嘱】实际实施【药物或措施、量单位途径】，来源【执行记录】，当时【条件与监测】，于【复评时间】见【反应】，目前【持续、调整或停止状态】。</w:t>
      </w:r>
    </w:p>
    <w:p>
      <w:pPr>
        <w:pStyle w:val="Heading2"/>
      </w:pPr>
      <w:r>
        <w:t>09 血管活性药物</w:t>
      </w:r>
    </w:p>
    <w:p>
      <w:r>
        <w:t>执行依据：实际配方浓度、途径、每次调速。相关观察：循环和灌注、通路与泵。真实性限制：不得自行写临床调速指令。模板：于【时间】按【经确认医嘱】实际实施【药物或措施、量单位途径】，来源【执行记录】，当时【条件与监测】，于【复评时间】见【反应】，目前【持续、调整或停止状态】。</w:t>
      </w:r>
    </w:p>
    <w:p>
      <w:pPr>
        <w:pStyle w:val="Heading2"/>
      </w:pPr>
      <w:r>
        <w:t>10 抗心律失常相关药物</w:t>
      </w:r>
    </w:p>
    <w:p>
      <w:r>
        <w:t>执行依据：节律诊断来源、真实给药。相关观察：ECG和灌注、电解质与效果。真实性限制：监护仪报警不作为处方依据。模板：于【时间】按【经确认医嘱】实际实施【药物或措施、量单位途径】，来源【执行记录】，当时【条件与监测】，于【复评时间】见【反应】，目前【持续、调整或停止状态】。</w:t>
      </w:r>
    </w:p>
    <w:p>
      <w:pPr>
        <w:pStyle w:val="Heading2"/>
      </w:pPr>
      <w:r>
        <w:t>11 止吐药</w:t>
      </w:r>
    </w:p>
    <w:p>
      <w:r>
        <w:t>执行依据：预防或治疗、实际剂量与途径。相关观察：PONV、QT等与实际药物相关资料。真实性限制：不能从PONV风险直接写已给药。模板：于【时间】按【经确认医嘱】实际实施【药物或措施、量单位途径】，来源【执行记录】，当时【条件与监测】，于【复评时间】见【反应】，目前【持续、调整或停止状态】。</w:t>
      </w:r>
    </w:p>
    <w:p>
      <w:pPr>
        <w:pStyle w:val="Heading2"/>
      </w:pPr>
      <w:r>
        <w:t>12 其他实际使用的麻醉辅助药物</w:t>
      </w:r>
    </w:p>
    <w:p>
      <w:r>
        <w:t>执行依据：通用名、目的、执行与来源。相关观察：与具体药物相关的必要观察。真实性限制：不使用不明简称和无来源配方。模板：于【时间】按【经确认医嘱】实际实施【药物或措施、量单位途径】，来源【执行记录】，当时【条件与监测】，于【复评时间】见【反应】，目前【持续、调整或停止状态】。</w:t>
      </w:r>
    </w:p>
    <w:p>
      <w:pPr>
        <w:pStyle w:val="Heading2"/>
      </w:pPr>
      <w:r>
        <w:t>13 气道管理</w:t>
      </w:r>
    </w:p>
    <w:p>
      <w:r>
        <w:t>执行依据：器械、每次操作、状态及确认。相关观察：通气氧合和损伤。真实性限制：计划拔管不等于已拔。模板：于【时间】按【经确认医嘱】实际实施【药物或措施、量单位途径】，来源【执行记录】，当时【条件与监测】，于【复评时间】见【反应】，目前【持续、调整或停止状态】。</w:t>
      </w:r>
    </w:p>
    <w:p>
      <w:pPr>
        <w:pStyle w:val="Heading2"/>
      </w:pPr>
      <w:r>
        <w:t>14 机械通气</w:t>
      </w:r>
    </w:p>
    <w:p>
      <w:r>
        <w:t>执行依据：模式、设定、实测、调整时间。相关观察：气道压、波形、FiO2及血气。真实性限制：术名不能决定真实参数。模板：于【时间】按【经确认医嘱】实际实施【药物或措施、量单位途径】，来源【执行记录】，当时【条件与监测】，于【复评时间】见【反应】，目前【持续、调整或停止状态】。</w:t>
      </w:r>
    </w:p>
    <w:p>
      <w:pPr>
        <w:pStyle w:val="Heading2"/>
      </w:pPr>
      <w:r>
        <w:t>15 氧合与通气监测</w:t>
      </w:r>
    </w:p>
    <w:p>
      <w:r>
        <w:t>执行依据：SpO2、EtCO2、PaO2/PaCO2分项。相关观察：设备质量、采样条件及氧疗。真实性限制：鼻导管流量不直接等于精确FiO2。模板：于【时间】按【经确认医嘱】实际实施【药物或措施、量单位途径】，来源【执行记录】，当时【条件与监测】，于【复评时间】见【反应】，目前【持续、调整或停止状态】。</w:t>
      </w:r>
    </w:p>
    <w:p>
      <w:pPr>
        <w:pStyle w:val="Heading2"/>
      </w:pPr>
      <w:r>
        <w:t>16 血流动力学管理</w:t>
      </w:r>
    </w:p>
    <w:p>
      <w:r>
        <w:t>执行依据：目标来源、实测与实际支持。相关观察：压力灌注、血气及超声。真实性限制：单个压力不能认定容量状态。模板：于【时间】按【经确认医嘱】实际实施【药物或措施、量单位途径】，来源【执行记录】，当时【条件与监测】，于【复评时间】见【反应】，目前【持续、调整或停止状态】。</w:t>
      </w:r>
    </w:p>
    <w:p>
      <w:pPr>
        <w:pStyle w:val="Heading2"/>
      </w:pPr>
      <w:r>
        <w:t>17 液体管理</w:t>
      </w:r>
    </w:p>
    <w:p>
      <w:r>
        <w:t>执行依据：液体名称、途径、起止和实际量。相关观察：出入量时窗、出血和反应。真实性限制：开立量或挂袋量不等于输入量。模板：于【时间】按【经确认医嘱】实际实施【药物或措施、量单位途径】，来源【执行记录】，当时【条件与监测】，于【复评时间】见【反应】，目前【持续、调整或停止状态】。</w:t>
      </w:r>
    </w:p>
    <w:p>
      <w:pPr>
        <w:pStyle w:val="Heading2"/>
      </w:pPr>
      <w:r>
        <w:t>18 输血与血制品管理</w:t>
      </w:r>
    </w:p>
    <w:p>
      <w:r>
        <w:t>执行依据：制品、ABO/Rh、量单位与起止。相关观察：血型核对、反应、Hb及凝血。真实性限制：备血不能计入已输，U不擅换mL。模板：于【时间】按【经确认医嘱】实际实施【药物或措施、量单位途径】，来源【执行记录】，当时【条件与监测】，于【复评时间】见【反应】，目前【持续、调整或停止状态】。</w:t>
      </w:r>
    </w:p>
    <w:p>
      <w:pPr>
        <w:pStyle w:val="Heading2"/>
      </w:pPr>
      <w:r>
        <w:t>19 凝血异常管理</w:t>
      </w:r>
    </w:p>
    <w:p>
      <w:r>
        <w:t>执行依据：凝血标本与时间、血制品和药物。相关观察：出血表型及动态凝血。真实性限制：正常INR不能代替所有抗栓药效核查。模板：于【时间】按【经确认医嘱】实际实施【药物或措施、量单位途径】，来源【执行记录】，当时【条件与监测】，于【复评时间】见【反应】，目前【持续、调整或停止状态】。</w:t>
      </w:r>
    </w:p>
    <w:p>
      <w:pPr>
        <w:pStyle w:val="Heading2"/>
      </w:pPr>
      <w:r>
        <w:t>20 血糖管理</w:t>
      </w:r>
    </w:p>
    <w:p>
      <w:r>
        <w:t>执行依据：样本、数值单位与胰岛素执行。相关观察：低血糖症状和复测。真实性限制：胰岛素医嘱不等于真实泵入。模板：于【时间】按【经确认医嘱】实际实施【药物或措施、量单位途径】，来源【执行记录】，当时【条件与监测】，于【复评时间】见【反应】，目前【持续、调整或停止状态】。</w:t>
      </w:r>
    </w:p>
    <w:p>
      <w:pPr>
        <w:pStyle w:val="Heading2"/>
      </w:pPr>
      <w:r>
        <w:t>21 体温管理</w:t>
      </w:r>
    </w:p>
    <w:p>
      <w:r>
        <w:t>执行依据：部位、设备、温度和保温执行。相关观察：趋势、暴露和恢复。真实性限制：额温不能无说明替代核心温度。模板：于【时间】按【经确认医嘱】实际实施【药物或措施、量单位途径】，来源【执行记录】，当时【条件与监测】，于【复评时间】见【反应】，目前【持续、调整或停止状态】。</w:t>
      </w:r>
    </w:p>
    <w:p>
      <w:pPr>
        <w:pStyle w:val="Heading2"/>
      </w:pPr>
      <w:r>
        <w:t>22 电解质和酸碱管理</w:t>
      </w:r>
    </w:p>
    <w:p>
      <w:r>
        <w:t>执行依据：标本动静脉、单位及实际处理。相关观察：复检、ECG及通气。真实性限制：未采血不自动写已纠正。模板：于【时间】按【经确认医嘱】实际实施【药物或措施、量单位途径】，来源【执行记录】，当时【条件与监测】，于【复评时间】见【反应】，目前【持续、调整或停止状态】。</w:t>
      </w:r>
    </w:p>
    <w:p>
      <w:pPr>
        <w:pStyle w:val="Heading2"/>
      </w:pPr>
      <w:r>
        <w:t>23 术后镇痛</w:t>
      </w:r>
    </w:p>
    <w:p>
      <w:r>
        <w:t>执行依据：确认方案与实际泵及给药。相关观察：静息活动痛、镇静呼吸和不良反应。真实性限制：套方不能生成真实镇痛泵参数。模板：于【时间】按【经确认医嘱】实际实施【药物或措施、量单位途径】，来源【执行记录】，当时【条件与监测】，于【复评时间】见【反应】，目前【持续、调整或停止状态】。</w:t>
      </w:r>
    </w:p>
    <w:p>
      <w:pPr>
        <w:pStyle w:val="Heading2"/>
      </w:pPr>
      <w:r>
        <w:t>24 PONV预防和处理</w:t>
      </w:r>
    </w:p>
    <w:p>
      <w:r>
        <w:t>执行依据：风险输入、既用药、症状与执行。相关观察：处理后症状与氧合误吸风险。真实性限制：PONV评分不自动触发处方。模板：于【时间】按【经确认医嘱】实际实施【药物或措施、量单位途径】，来源【执行记录】，当时【条件与监测】，于【复评时间】见【反应】，目前【持续、调整或停止状态】。</w:t>
      </w:r>
    </w:p>
    <w:p>
      <w:pPr>
        <w:pStyle w:val="Heading2"/>
      </w:pPr>
      <w:r>
        <w:t>25 抗凝及区域麻醉相关风险管理</w:t>
      </w:r>
    </w:p>
    <w:p>
      <w:r>
        <w:t>执行依据：药物剂量类型、末次给药、肾功能。相关观察：穿刺置管拔管及重启时序。真实性限制：禁止对所有抗栓药套统一停药小时数。模板：于【时间】按【经确认医嘱】实际实施【药物或措施、量单位途径】，来源【执行记录】，当时【条件与监测】，于【复评时间】见【反应】，目前【持续、调整或停止状态】。</w:t>
      </w:r>
    </w:p>
    <w:p>
      <w:pPr>
        <w:pStyle w:val="Heading2"/>
      </w:pPr>
      <w:r>
        <w:t>26 其他特殊治疗</w:t>
      </w:r>
    </w:p>
    <w:p>
      <w:r>
        <w:t>执行依据：适应证、责任医师、设备或药品及状态。相关观察：相关监测和反应。真实性限制：无真实适应证及授权不补写治疗。模板：于【时间】按【经确认医嘱】实际实施【药物或措施、量单位途径】，来源【执行记录】，当时【条件与监测】，于【复评时间】见【反应】，目前【持续、调整或停止状态】。</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实际给药与医嘱差异</w:t>
      </w:r>
    </w:p>
    <w:p>
      <w:pPr>
        <w:keepNext/>
        <w:spacing w:after="0"/>
      </w:pPr>
      <w:r>
        <w:rPr>
          <w:rFonts w:ascii="宋体" w:hAnsi="宋体" w:eastAsia="宋体"/>
          <w:b w:val="0"/>
          <w:color w:val="000000"/>
          <w:sz w:val="18"/>
        </w:rPr>
        <w:t>```text</w:t>
      </w:r>
    </w:p>
    <w:p>
      <w:pPr>
        <w:widowControl/>
        <w:spacing w:after="40" w:line="264" w:lineRule="auto"/>
        <w:ind w:left="142"/>
      </w:pPr>
      <w:r>
        <w:t>药物事件：模拟患者SIM-07，事件SIM-A07，给药SIM-MED07。</w:t>
      </w:r>
    </w:p>
    <w:p>
      <w:pPr>
        <w:widowControl/>
        <w:spacing w:after="40" w:line="264" w:lineRule="auto"/>
        <w:ind w:left="142"/>
      </w:pPr>
      <w:r>
        <w:t>医嘱：2026年10月21日08:00丙泊酚120mg静脉给药，状态ordered。</w:t>
      </w:r>
    </w:p>
    <w:p>
      <w:pPr>
        <w:widowControl/>
        <w:spacing w:after="40" w:line="264" w:lineRule="auto"/>
        <w:ind w:left="142"/>
      </w:pPr>
      <w:r>
        <w:t>实际执行：08:10丙泊酚100mg静脉给药，来源SIM-MAR07，状态administered。</w:t>
      </w:r>
    </w:p>
    <w:p>
      <w:pPr>
        <w:widowControl/>
        <w:spacing w:after="40" w:line="264" w:lineRule="auto"/>
        <w:ind w:left="142"/>
      </w:pPr>
      <w:r>
        <w:t>核对：实际累计仅计100mg，医嘱与执行差异已列待核；不把剩余20mg记为已给或自行补给。</w:t>
      </w:r>
    </w:p>
    <w:p>
      <w:pPr>
        <w:keepNext/>
        <w:widowControl/>
        <w:spacing w:after="40" w:line="264" w:lineRule="auto"/>
        <w:ind w:left="142"/>
      </w:pPr>
      <w:r>
        <w:t>关联监测：08:10循环呼吸由SIM-MON07记录，缺失指标不补写。</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R14 Regional anesthesia in the patient receiving antithrombotic or thrombolytic therapy。发布：ASRA Pain Medicine；正式年份：2025；实施：无独立实施日；版本：第5版 DOI 10.1136/rapm-2024-105766；核对2025-09页面。适用：椎管内及深丛外周阻滞、置管拔管与抗栓。主要适用章节：本模块评估、管理及对应模板；核验：2026-10-29，期刊正式正文；未将药物间隔表写入自动处方。</w:t>
      </w:r>
    </w:p>
    <w:p>
      <w:hyperlink r:id="rId12">
        <w:r>
          <w:rPr>
            <w:sz w:val="20"/>
          </w:rPr>
          <w:t>正式来源 R14</w:t>
        </w:r>
      </w:hyperlink>
    </w:p>
    <w:p>
      <w:r>
        <w:t>R15 Checklist for Treatment of Local Anesthetic Systemic Toxicity。发布：ASRA Pain Medicine；正式年份：2020-11-01；实施：无独立实施日；版本：2020版。适用：局麻药全身毒性识别、处置留痕和复评。主要适用章节：本模块评估、管理及对应模板；核验：2026-10-29，协会正式页面；2027拟更新不作为已发布版本。</w:t>
      </w:r>
    </w:p>
    <w:p>
      <w:hyperlink r:id="rId13">
        <w:r>
          <w:rPr>
            <w:sz w:val="20"/>
          </w:rPr>
          <w:t>正式来源 R15</w:t>
        </w:r>
      </w:hyperlink>
    </w:p>
    <w:p>
      <w:r>
        <w:t>R18 Management of severe peri-operative bleeding。发布：ESAIC；正式年份：2023；实施：无独立实施日；版本：2022第二次更新 2023刊载。适用：出血、凝血、输血与复评。主要适用章节：本模块评估、管理及对应模板；核验：2026-10-29，协会发布说明及指南目录；具体制品阈值不内置。</w:t>
      </w:r>
    </w:p>
    <w:p>
      <w:hyperlink r:id="rId14">
        <w:r>
          <w:rPr>
            <w:sz w:val="20"/>
          </w:rPr>
          <w:t>正式来源 R18</w:t>
        </w:r>
      </w:hyperlink>
    </w:p>
    <w:p>
      <w:r>
        <w:t>R20 Practice Guidelines for Monitoring and Antagonism of Neuromuscular Blockade。发布：ASA；正式年份：2023；实施：无独立实施日；版本：2023正式指南。适用：神经肌肉监测与恢复记录。主要适用章节：本模块评估、管理及对应模板；核验：2026-10-29，ASA正式指南目录及原始期刊PDF元数据。</w:t>
      </w:r>
    </w:p>
    <w:p>
      <w:hyperlink r:id="rId15">
        <w:r>
          <w:rPr>
            <w:sz w:val="20"/>
          </w:rPr>
          <w:t>正式来源 R20</w:t>
        </w:r>
      </w:hyperlink>
    </w:p>
    <w:p>
      <w:r>
        <w:t>R29 2026 Practice Guideline on Perioperative Pain Management Using Local and Regional Analgesia for Cardiothoracic Surgeries Mastectomy and Abdominal Surgeries。发布：ASA；正式年份：2026；实施：无独立实施日；版本：DOI 10.1097/ALN.0000000000005790。适用：指定胸心、乳腺与腹部手术局部区域镇痛；非所有疼痛场景通用。主要适用章节：本模块评估、管理及对应模板；核验：2026-10-29，正式期刊及WFSA页面；不扩展适应范围。</w:t>
      </w:r>
    </w:p>
    <w:p>
      <w:hyperlink r:id="rId16">
        <w:r>
          <w:rPr>
            <w:sz w:val="20"/>
          </w:rPr>
          <w:t>正式来源 R29</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rapm.bmj.com/content/early/2025/09/16/rapm-2024-105766" TargetMode="External"/><Relationship Id="rId13" Type="http://schemas.openxmlformats.org/officeDocument/2006/relationships/hyperlink" Target="https://asra.com/the-asra-family/special-interest-groups/cancer-pain-and-supportive-care-sig/cancer-pain-sig-article/guidelines/2020/11/01/checklist-for-treatment-of-local-anesthetic-systemic-toxicity" TargetMode="External"/><Relationship Id="rId14" Type="http://schemas.openxmlformats.org/officeDocument/2006/relationships/hyperlink" Target="https://esaic.org/new-version-of-the-esaic-guidelines-on-severe-perioperative-bleeding-management/" TargetMode="External"/><Relationship Id="rId15" Type="http://schemas.openxmlformats.org/officeDocument/2006/relationships/hyperlink" Target="https://pubs.asahq.org/anesthesiology/article-pdf/138/1/13/682670/20230100.0-00011.pdf" TargetMode="External"/><Relationship Id="rId16" Type="http://schemas.openxmlformats.org/officeDocument/2006/relationships/hyperlink" Target="https://doi.org/10.1097/ALN.00000000000057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麻醉药物输液输血呼吸循环管理及医嘱表达规则库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