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麻醉科三级医师评估查房及重大麻醉决策模板库</w:t>
      </w:r>
    </w:p>
    <w:p>
      <w:pPr>
        <w:spacing w:after="180"/>
      </w:pPr>
      <w:r>
        <w:t>模块编号 08</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建立主治、副主任、主任不同决策深度，保存实际参与及真实意见。本模块将医学资料、临床判断和实际执行分开，为本次麻醉事件生成可追溯的待审文书；关键缺失或冲突须核实后才能形成完整净稿。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三级评估的临床差异</w:t>
        </w:r>
      </w:hyperlink>
    </w:p>
    <w:p>
      <w:pPr>
        <w:spacing w:after="60"/>
      </w:pPr>
      <w:hyperlink w:anchor="chapter3">
        <w:r>
          <w:t>四 21类三级评估模板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建立主治、副主任、主任不同决策深度，保存实际参与及真实意见。本模块面向中国医院麻醉医师及病历质控人员，提供待人工审核的规则和模板。版本V1.0，建设及规范核验日期2026年10月29日，尚未经过医院临床上线验收。</w:t>
      </w:r>
    </w:p>
    <w:p>
      <w:r>
        <w:t>适用范围及触发：当任务涉及建立主治、副主任、主任不同决策深度时，由00及11按最小充分原则调用。专病模块服务于具体麻醉技术和人群，不能覆盖01的真实性要求。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三级评估的临床差异</w:t>
      </w:r>
      <w:bookmarkEnd w:id="2"/>
    </w:p>
    <w:p>
      <w:r>
        <w:t>主治医师重点确认事实与方案可执行性，明确当班实施和复评；副主任医师重点比较主备方案、病情变化及升级阈值；主任医师重点复核重大风险收益、手术时机、救援资源及多学科责任。职务不证明实际参与，不能为了凑三级记录伪造查房。无住院查房场景时写术前评估或重大麻醉决策记录。</w:t>
      </w:r>
    </w:p>
    <w:p>
      <w:bookmarkStart w:id="3" w:name="chapter3"/>
      <w:pPr>
        <w:pStyle w:val="Heading1"/>
      </w:pPr>
      <w:r>
        <w:t>四 21类三级评估模板</w:t>
      </w:r>
      <w:bookmarkEnd w:id="3"/>
    </w:p>
    <w:p>
      <w:pPr>
        <w:pStyle w:val="Heading2"/>
      </w:pPr>
      <w:r>
        <w:t>01 常规择期手术术前评估</w:t>
      </w:r>
    </w:p>
    <w:p>
      <w:pPr>
        <w:keepNext/>
      </w:pPr>
      <w:r>
        <w:rPr>
          <w:rFonts w:ascii="宋体" w:hAnsi="宋体" w:eastAsia="宋体"/>
          <w:b/>
          <w:color w:val="000000"/>
          <w:sz w:val="21"/>
        </w:rPr>
        <w:t>【日期 时间】 主治医师常规择期手术术前评估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术前资料及准备完整性，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副主任医师常规择期手术术前评估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方式及备选的个体适宜性，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主任医师常规择期手术术前评估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执行责任与计划复核节点，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02 高龄患者术前评估</w:t>
      </w:r>
    </w:p>
    <w:p>
      <w:pPr>
        <w:keepNext/>
      </w:pPr>
      <w:r>
        <w:rPr>
          <w:rFonts w:ascii="宋体" w:hAnsi="宋体" w:eastAsia="宋体"/>
          <w:b/>
          <w:color w:val="000000"/>
          <w:sz w:val="21"/>
        </w:rPr>
        <w:t>【日期 时间】 主治医师高龄患者术前评估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功能认知衰弱和多药情况，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副主任医师高龄患者术前评估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认知及呼吸循环风险相互影响，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主任医师高龄患者术前评估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术后监护层级和资源协调，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03 ASA较高分级患者术前评估</w:t>
      </w:r>
    </w:p>
    <w:p>
      <w:pPr>
        <w:keepNext/>
      </w:pPr>
      <w:r>
        <w:rPr>
          <w:rFonts w:ascii="宋体" w:hAnsi="宋体" w:eastAsia="宋体"/>
          <w:b/>
          <w:color w:val="000000"/>
          <w:sz w:val="21"/>
        </w:rPr>
        <w:t>【日期 时间】 主治医师ASA较高分级患者术前评估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ASA分级证据及严重度，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副主任医师ASA较高分级患者术前评估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可逆问题优化与方案取舍，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主任医师ASA较高分级患者术前评估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高危风险接受及手术时机，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04 困难气道患者术前评估</w:t>
      </w:r>
    </w:p>
    <w:p>
      <w:pPr>
        <w:keepNext/>
      </w:pPr>
      <w:r>
        <w:rPr>
          <w:rFonts w:ascii="宋体" w:hAnsi="宋体" w:eastAsia="宋体"/>
          <w:b/>
          <w:color w:val="000000"/>
          <w:sz w:val="21"/>
        </w:rPr>
        <w:t>【日期 时间】 主治医师困难气道患者术前评估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实查与既往原始气道记录，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副主任医师困难气道患者术前评估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主备救援和拔管策略，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主任医师困难气道患者术前评估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场所人员及失败后的重大取舍，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05 心脏病患者麻醉评估</w:t>
      </w:r>
    </w:p>
    <w:p>
      <w:pPr>
        <w:keepNext/>
      </w:pPr>
      <w:r>
        <w:rPr>
          <w:rFonts w:ascii="宋体" w:hAnsi="宋体" w:eastAsia="宋体"/>
          <w:b/>
          <w:color w:val="000000"/>
          <w:sz w:val="21"/>
        </w:rPr>
        <w:t>【日期 时间】 主治医师心脏病患者麻醉评估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症状功能及心脏检查，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副主任医师心脏病患者麻醉评估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缺血心衰与抗栓平衡，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主任医师心脏病患者麻醉评估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手术时机、支持能力及去向，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06 呼吸功能异常患者麻醉评估</w:t>
      </w:r>
    </w:p>
    <w:p>
      <w:pPr>
        <w:keepNext/>
      </w:pPr>
      <w:r>
        <w:rPr>
          <w:rFonts w:ascii="宋体" w:hAnsi="宋体" w:eastAsia="宋体"/>
          <w:b/>
          <w:color w:val="000000"/>
          <w:sz w:val="21"/>
        </w:rPr>
        <w:t>【日期 时间】 主治医师呼吸功能异常患者麻醉评估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氧疗血气及近期加重，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副主任医师呼吸功能异常患者麻醉评估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通气与气道方式适配，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主任医师呼吸功能异常患者麻醉评估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术后支持与ICU资源安排，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07 肝肾功能障碍患者麻醉评估</w:t>
      </w:r>
    </w:p>
    <w:p>
      <w:pPr>
        <w:keepNext/>
      </w:pPr>
      <w:r>
        <w:rPr>
          <w:rFonts w:ascii="宋体" w:hAnsi="宋体" w:eastAsia="宋体"/>
          <w:b/>
          <w:color w:val="000000"/>
          <w:sz w:val="21"/>
        </w:rPr>
        <w:t>【日期 时间】 主治医师肝肾功能障碍患者麻醉评估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肝肾和代谢凝血资料，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副主任医师肝肾功能障碍患者麻醉评估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药物清除及区域风险权衡，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主任医师肝肾功能障碍患者麻醉评估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透析或重症协作与关键决策，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08 急诊手术麻醉评估</w:t>
      </w:r>
    </w:p>
    <w:p>
      <w:pPr>
        <w:keepNext/>
      </w:pPr>
      <w:r>
        <w:rPr>
          <w:rFonts w:ascii="宋体" w:hAnsi="宋体" w:eastAsia="宋体"/>
          <w:b/>
          <w:color w:val="000000"/>
          <w:sz w:val="21"/>
        </w:rPr>
        <w:t>【日期 时间】 主治医师急诊手术麻醉评估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紧急指征和可得资料，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副主任医师急诊手术麻醉评估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有限评估与延误风险比较，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主任医师急诊手术麻醉评估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应急授权资源和后续责任，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09 创伤及失血患者麻醉评估</w:t>
      </w:r>
    </w:p>
    <w:p>
      <w:pPr>
        <w:keepNext/>
      </w:pPr>
      <w:r>
        <w:rPr>
          <w:rFonts w:ascii="宋体" w:hAnsi="宋体" w:eastAsia="宋体"/>
          <w:b/>
          <w:color w:val="000000"/>
          <w:sz w:val="21"/>
        </w:rPr>
        <w:t>【日期 时间】 主治医师创伤及失血患者麻醉评估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失血灌注及已复苏反应，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副主任医师创伤及失血患者麻醉评估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止血协作和麻醉复苏衔接，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主任医师创伤及失血患者麻醉评估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重大输血、分期手术及ICU，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10 胸科手术麻醉讨论</w:t>
      </w:r>
    </w:p>
    <w:p>
      <w:pPr>
        <w:keepNext/>
      </w:pPr>
      <w:r>
        <w:rPr>
          <w:rFonts w:ascii="宋体" w:hAnsi="宋体" w:eastAsia="宋体"/>
          <w:b/>
          <w:color w:val="000000"/>
          <w:sz w:val="21"/>
        </w:rPr>
        <w:t>【日期 时间】 主治医师胸科手术麻醉讨论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肺功能与隔离需求，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副主任医师胸科手术麻醉讨论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单肺通气替代与低氧准备，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主任医师胸科手术麻醉讨论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术后呼吸支持和高危转换，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11 心脏手术麻醉讨论</w:t>
      </w:r>
    </w:p>
    <w:p>
      <w:pPr>
        <w:keepNext/>
      </w:pPr>
      <w:r>
        <w:rPr>
          <w:rFonts w:ascii="宋体" w:hAnsi="宋体" w:eastAsia="宋体"/>
          <w:b/>
          <w:color w:val="000000"/>
          <w:sz w:val="21"/>
        </w:rPr>
        <w:t>【日期 时间】 主治医师心脏手术麻醉讨论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心脏病理与实际监测，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副主任医师心脏手术麻醉讨论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转流脱机和循环备援，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主任医师心脏手术麻醉讨论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重大循环支持与术后资源，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12 神经外科麻醉讨论</w:t>
      </w:r>
    </w:p>
    <w:p>
      <w:pPr>
        <w:keepNext/>
      </w:pPr>
      <w:r>
        <w:rPr>
          <w:rFonts w:ascii="宋体" w:hAnsi="宋体" w:eastAsia="宋体"/>
          <w:b/>
          <w:color w:val="000000"/>
          <w:sz w:val="21"/>
        </w:rPr>
        <w:t>【日期 时间】 主治医师神经外科麻醉讨论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神经基线和病变资料，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副主任医师神经外科麻醉讨论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脑灌注、麻醉与神经监测协调，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主任医师神经外科麻醉讨论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保护目标取舍及ICU策略，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13 产科高危麻醉评估</w:t>
      </w:r>
    </w:p>
    <w:p>
      <w:pPr>
        <w:keepNext/>
      </w:pPr>
      <w:r>
        <w:rPr>
          <w:rFonts w:ascii="宋体" w:hAnsi="宋体" w:eastAsia="宋体"/>
          <w:b/>
          <w:color w:val="000000"/>
          <w:sz w:val="21"/>
        </w:rPr>
        <w:t>【日期 时间】 主治医师产科高危麻醉评估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孕周母体胎儿信息分源，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副主任医师产科高危麻醉评估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气道、区域和出血风险权衡，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主任医师产科高危麻醉评估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母体救治优先及多学科协调，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14 儿科麻醉评估</w:t>
      </w:r>
    </w:p>
    <w:p>
      <w:pPr>
        <w:keepNext/>
      </w:pPr>
      <w:r>
        <w:rPr>
          <w:rFonts w:ascii="宋体" w:hAnsi="宋体" w:eastAsia="宋体"/>
          <w:b/>
          <w:color w:val="000000"/>
          <w:sz w:val="21"/>
        </w:rPr>
        <w:t>【日期 时间】 主治医师儿科麻醉评估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年龄体重发育及监护同意，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副主任医师儿科麻醉评估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适龄器械用药和恢复风险，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主任医师儿科麻醉评估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儿童专业能力与监护资源，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15 区域麻醉风险评估</w:t>
      </w:r>
    </w:p>
    <w:p>
      <w:pPr>
        <w:keepNext/>
      </w:pPr>
      <w:r>
        <w:rPr>
          <w:rFonts w:ascii="宋体" w:hAnsi="宋体" w:eastAsia="宋体"/>
          <w:b/>
          <w:color w:val="000000"/>
          <w:sz w:val="21"/>
        </w:rPr>
        <w:t>【日期 时间】 主治医师区域麻醉风险评估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抗栓末次给药和神经基线，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副主任医师区域麻醉风险评估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穿刺拔管风险与替代镇痛，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主任医师区域麻醉风险评估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高风险阻滞授权与救援责任，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16 手术室外麻醉评估</w:t>
      </w:r>
    </w:p>
    <w:p>
      <w:pPr>
        <w:keepNext/>
      </w:pPr>
      <w:r>
        <w:rPr>
          <w:rFonts w:ascii="宋体" w:hAnsi="宋体" w:eastAsia="宋体"/>
          <w:b/>
          <w:color w:val="000000"/>
          <w:sz w:val="21"/>
        </w:rPr>
        <w:t>【日期 时间】 主治医师手术室外麻醉评估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场所设备人员及气道，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副主任医师手术室外麻醉评估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程序适宜性和抢救可及性，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主任医师手术室外麻醉评估</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场所准入、转运及停止诊疗决策，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17 术中重大异常事件复核</w:t>
      </w:r>
    </w:p>
    <w:p>
      <w:pPr>
        <w:keepNext/>
      </w:pPr>
      <w:r>
        <w:rPr>
          <w:rFonts w:ascii="宋体" w:hAnsi="宋体" w:eastAsia="宋体"/>
          <w:b/>
          <w:color w:val="000000"/>
          <w:sz w:val="21"/>
        </w:rPr>
        <w:t>【日期 时间】 主治医师术中重大异常事件复核</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实际监测、处理和复评，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副主任医师术中重大异常事件复核</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病因证据层级与残余风险，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主任医师术中重大异常事件复核</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重大决策复核及持续支持资源，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18 PACU复杂苏醒患者复评</w:t>
      </w:r>
    </w:p>
    <w:p>
      <w:pPr>
        <w:keepNext/>
      </w:pPr>
      <w:r>
        <w:rPr>
          <w:rFonts w:ascii="宋体" w:hAnsi="宋体" w:eastAsia="宋体"/>
          <w:b/>
          <w:color w:val="000000"/>
          <w:sz w:val="21"/>
        </w:rPr>
        <w:t>【日期 时间】 主治医师PACU复杂苏醒患者复评</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药物体温血糖与神经，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副主任医师PACU复杂苏醒患者复评</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残余麻醉与新病变鉴别，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主任医师PACU复杂苏醒患者复评</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延长监护、再插管及转ICU，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19 麻醉相关严重并发症讨论</w:t>
      </w:r>
    </w:p>
    <w:p>
      <w:pPr>
        <w:keepNext/>
      </w:pPr>
      <w:r>
        <w:rPr>
          <w:rFonts w:ascii="宋体" w:hAnsi="宋体" w:eastAsia="宋体"/>
          <w:b/>
          <w:color w:val="000000"/>
          <w:sz w:val="21"/>
        </w:rPr>
        <w:t>【日期 时间】 主治医师麻醉相关严重并发症讨论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表型时序及诊断证据，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副主任医师麻醉相关严重并发症讨论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多源资料核对与可疑致因，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主任医师麻醉相关严重并发症讨论</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安全报告和后续复查责任，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20 麻醉后上级医师访视</w:t>
      </w:r>
    </w:p>
    <w:p>
      <w:pPr>
        <w:keepNext/>
      </w:pPr>
      <w:r>
        <w:rPr>
          <w:rFonts w:ascii="宋体" w:hAnsi="宋体" w:eastAsia="宋体"/>
          <w:b/>
          <w:color w:val="000000"/>
          <w:sz w:val="21"/>
        </w:rPr>
        <w:t>【日期 时间】 主治医师麻醉后上级医师访视</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术后实际访视和当次异常，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副主任医师麻醉后上级医师访视</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功能恢复与持续风险评价，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主任医师麻醉后上级医师访视</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复杂转归及多学科后续安排，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pStyle w:val="Heading2"/>
      </w:pPr>
      <w:r>
        <w:t>21 重大麻醉决策变更记录</w:t>
      </w:r>
    </w:p>
    <w:p>
      <w:pPr>
        <w:keepNext/>
      </w:pPr>
      <w:r>
        <w:rPr>
          <w:rFonts w:ascii="宋体" w:hAnsi="宋体" w:eastAsia="宋体"/>
          <w:b/>
          <w:color w:val="000000"/>
          <w:sz w:val="21"/>
        </w:rPr>
        <w:t>【日期 时间】 主治医师重大麻醉决策变更记录</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原方案、变化及执行，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副主任医师重大麻醉决策变更记录</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改变理由、备选和风险比较，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pPr>
        <w:keepNext/>
      </w:pPr>
      <w:r>
        <w:rPr>
          <w:rFonts w:ascii="宋体" w:hAnsi="宋体" w:eastAsia="宋体"/>
          <w:b/>
          <w:color w:val="000000"/>
          <w:sz w:val="21"/>
        </w:rPr>
        <w:t>【日期 时间】 主任医师重大麻醉决策变更记录</w:t>
      </w:r>
    </w:p>
    <w:p>
      <w:pPr>
        <w:keepNext/>
        <w:spacing w:after="0"/>
      </w:pPr>
      <w:r>
        <w:rPr>
          <w:rFonts w:ascii="宋体" w:hAnsi="宋体" w:eastAsia="宋体"/>
          <w:b w:val="0"/>
          <w:color w:val="000000"/>
          <w:sz w:val="18"/>
        </w:rPr>
        <w:t>```text</w:t>
      </w:r>
    </w:p>
    <w:p>
      <w:pPr>
        <w:keepNext/>
        <w:widowControl/>
        <w:spacing w:after="40" w:line="264" w:lineRule="auto"/>
        <w:ind w:left="142"/>
      </w:pPr>
      <w:r>
        <w:t>【实际参与医师】于【时间】评估本次【事件】，依据【真实资料】重点审核重大取舍、授权及复核责任，认为【有据判断及不确定性】，提出【该层级具体意见、备选或资源安排】，实际采纳与执行【分开记载】，由【责任团队】于【时限】复核。</w:t>
      </w:r>
    </w:p>
    <w:p>
      <w:pPr>
        <w:spacing w:before="0"/>
      </w:pPr>
      <w:r>
        <w:rPr>
          <w:rFonts w:ascii="宋体" w:hAnsi="宋体" w:eastAsia="宋体"/>
          <w:b w:val="0"/>
          <w:color w:val="000000"/>
          <w:sz w:val="18"/>
        </w:rPr>
        <w:t>```</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高级医师评估</w:t>
      </w:r>
    </w:p>
    <w:p>
      <w:pPr>
        <w:keepNext/>
        <w:spacing w:after="0"/>
      </w:pPr>
      <w:r>
        <w:rPr>
          <w:rFonts w:ascii="宋体" w:hAnsi="宋体" w:eastAsia="宋体"/>
          <w:b w:val="0"/>
          <w:color w:val="000000"/>
          <w:sz w:val="18"/>
        </w:rPr>
        <w:t>```text</w:t>
      </w:r>
    </w:p>
    <w:p>
      <w:pPr>
        <w:keepNext/>
        <w:widowControl/>
        <w:spacing w:after="40" w:line="264" w:lineRule="auto"/>
        <w:ind w:left="142"/>
      </w:pPr>
      <w:r>
        <w:t>模拟病例SIM-08，患者重度主动脉瓣狭窄拟行非心脏手术，三层意见来自真实模拟参与记录：主治医师已核对症状、超声报告及现有支持，指出诱导和失血期风险并提出执行检查项；副主任医师比较延期优化与当前实施两方案，要求结合症状、紧急性及可用支持重新确认风险收益；主任医师复核手术必要性、团队救援能力和ICU床位，决定在多学科讨论完成前暂不确认最终实施方案，并明确心脏科意见及复核责任。三层意见均属于评估，尚未证明实际开展麻醉。</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R01 病历书写基本规范。发布：卫生部；正式年份：2010-01-22；实施：2010-03-01；版本：卫医政发〔2010〕11号。适用：全部文书；客观真实、签名、麻醉术前访视及术后访视、抢救补记。主要适用章节：本模块评估、管理及对应模板；核验：2026-10-29，官方正文。</w:t>
      </w:r>
    </w:p>
    <w:p>
      <w:hyperlink r:id="rId11">
        <w:r>
          <w:rPr>
            <w:sz w:val="20"/>
          </w:rPr>
          <w:t>正式来源 R01</w:t>
        </w:r>
      </w:hyperlink>
    </w:p>
    <w:p>
      <w:r>
        <w:t>R02 医疗质量安全核心制度要点。发布：国家卫生健康委；正式年份：2018；实施：未另列统一实施日；版本：国卫医发〔2018〕8号。适用：查对、交接、会诊、危急值、术前讨论、抢救、病历及信息安全。主要适用章节：本模块评估、管理及对应模板；核验：2026-10-29，官方正文及解读。</w:t>
      </w:r>
    </w:p>
    <w:p>
      <w:hyperlink r:id="rId12">
        <w:r>
          <w:rPr>
            <w:sz w:val="20"/>
          </w:rPr>
          <w:t>正式来源 R02</w:t>
        </w:r>
      </w:hyperlink>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3">
        <w:r>
          <w:rPr>
            <w:sz w:val="20"/>
          </w:rPr>
          <w:t>正式来源 R03</w:t>
        </w:r>
      </w:hyperlink>
    </w:p>
    <w:p>
      <w:r>
        <w:t>R08 Basic Standards for Preanesthesia Care。发布：ASA；正式年份：2025-10-15修订；实施：无中国法定实施日；版本：2025修订版。适用：术前资料审核、访谈检查、计划及知情记录。主要适用章节：本模块评估、管理及对应模板；核验：2026-10-29，官方正文与修订日期。</w:t>
      </w:r>
    </w:p>
    <w:p>
      <w:hyperlink r:id="rId14">
        <w:r>
          <w:rPr>
            <w:sz w:val="20"/>
          </w:rPr>
          <w:t>正式来源 R08</w:t>
        </w:r>
      </w:hyperlink>
    </w:p>
    <w:p>
      <w:r>
        <w:t>R19 Guideline for Perioperative Cardiovascular Management for Noncardiac Surgery。发布：AHA ACC及合作学会；正式年份：2026-09-29更新；实施：无中国法定实施日；版本：2026再确认版 替代2024标题版本，建议内容相同。适用：非心脏手术心血管风险和分步评估；不可直接替代心脏手术指南。主要适用章节：本模块评估、管理及对应模板；核验：2026-10-29，AHA官方发布页明确再确认及适用范围。</w:t>
      </w:r>
    </w:p>
    <w:p>
      <w:hyperlink r:id="rId15">
        <w:r>
          <w:rPr>
            <w:sz w:val="20"/>
          </w:rPr>
          <w:t>正式来源 R19</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wjw/c100175/201002/b1bec53d90f243e0861529723f00221a.shtml" TargetMode="External"/><Relationship Id="rId12" Type="http://schemas.openxmlformats.org/officeDocument/2006/relationships/hyperlink" Target="https://www.nhc.gov.cn/yzygj/c100068/201804/42ab2552298047679cd6ec733f233862.shtml" TargetMode="External"/><Relationship Id="rId13" Type="http://schemas.openxmlformats.org/officeDocument/2006/relationships/hyperlink" Target="https://wjw.fj.gov.cn/jggk/csxx/jhsyjtfzczcfgc/gzdt_37901/202409/P020240918373243810060.pdf" TargetMode="External"/><Relationship Id="rId14" Type="http://schemas.openxmlformats.org/officeDocument/2006/relationships/hyperlink" Target="https://www.asahq.org/standards-and-practice-parameters/basic-standards-for-preanesthesia-care" TargetMode="External"/><Relationship Id="rId15" Type="http://schemas.openxmlformats.org/officeDocument/2006/relationships/hyperlink" Target="https://professional.heart.org/en/science-news/2026-guideline-for-perioperative-cardiovascular-management-for-noncardiac-surg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麻醉科三级医师评估查房及重大麻醉决策模板库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