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麻醉后恢复室术后镇痛麻醉随访及交接管理模板库</w:t>
      </w:r>
    </w:p>
    <w:p>
      <w:pPr>
        <w:spacing w:after="180"/>
      </w:pPr>
      <w:r>
        <w:t>模块编号 09</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记录PACU入室、恢复、评分、转出、交接、镇痛及术后访视闭环。本模块将医学资料、临床判断和实际执行分开，为本次麻醉事件生成可追溯的待审文书；关键缺失或冲突须核实后才能形成完整净稿。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恢复评分与转出路径</w:t>
        </w:r>
      </w:hyperlink>
    </w:p>
    <w:p>
      <w:pPr>
        <w:spacing w:after="60"/>
      </w:pPr>
      <w:hyperlink w:anchor="chapter3">
        <w:r>
          <w:t>四 37项恢复镇痛随访模板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记录PACU入室、恢复、评分、转出、交接、镇痛及术后访视闭环。本模块面向中国医院麻醉医师及病历质控人员，提供待人工审核的规则和模板。版本V1.0，建设及规范核验日期2026年10月29日，尚未经过医院临床上线验收。</w:t>
      </w:r>
    </w:p>
    <w:p>
      <w:r>
        <w:t>适用范围及触发：当任务涉及记录PACU入室、恢复、评分、转出、交接、镇痛及术后访视闭环时，由00及11按最小充分原则调用。专病模块服务于具体麻醉技术和人群，不能覆盖01的真实性要求。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恢复评分与转出路径</w:t>
      </w:r>
      <w:bookmarkEnd w:id="2"/>
    </w:p>
    <w:p>
      <w:r>
        <w:t>PACU实际入室、接收交接、逐时观察、治疗执行、恢复评分、转出评价、医师决定、实际离室及目的地接收分别记录。仍需人工气道或持续支持者可以经实际评估转ICU，不应强制走常规病房路径。转出与日间离院是两个决策。</w:t>
      </w:r>
    </w:p>
    <w:tbl>
      <w:tblPr>
        <w:tblW w:type="auto" w:w="0"/>
        <w:tblLayout w:type="fixed"/>
        <w:tblLook w:firstColumn="1" w:firstRow="1" w:lastColumn="0" w:lastRow="0" w:noHBand="0" w:noVBand="1" w:val="04A0"/>
      </w:tblPr>
      <w:tblGrid>
        <w:gridCol w:w="1701"/>
        <w:gridCol w:w="7767"/>
      </w:tblGrid>
      <w:tr>
        <w:trPr>
          <w:tblHeader/>
        </w:trP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改良Aldrete维度</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原始评分概念与使用限制</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活动</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随意或指令活动四肢2；两肢1；不能活动0</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呼吸</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深呼吸及有效咳嗽2；受限或呼吸困难1；呼吸暂停0</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循环</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血压相对明确术前基线偏离在20%以内2；20%至49%为1；50%及以上为0</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意识</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完全清醒2；可唤醒1；无反应0</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氧合</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室内空气SpO2&gt;92%为2；需氧疗维持&gt;90%为1；给氧仍&lt;90%为0</w:t>
            </w:r>
          </w:p>
        </w:tc>
      </w:tr>
    </w:tbl>
    <w:p>
      <w:pPr>
        <w:spacing w:after="40"/>
      </w:pPr>
    </w:p>
    <w:p>
      <w:r>
        <w:t>该表概述Aldrete 1995原始表，边界值、基线定义、残疾或特殊人群适用性按医院正式采用版本核对，不能在有歧义时自动打分。WS 329附录B仅有评分填写位置，没有五项细则。五项真实评价齐备且版本一致才合计0至10；未知不计0，不由总分倒推分项，分数不单独授权转出。</w:t>
      </w:r>
    </w:p>
    <w:p>
      <w:r>
        <w:t>疼痛先确认沟通发育和认知条件。能自述者记录NRS或VAS原量表及静息/活动评分；儿童或交流障碍者记录院内适用观察量表、分项及评估者，不把FLACC等观察量表当NRS。镇痛复评同时保留呼吸、镇静、不良反应及功能。</w:t>
      </w:r>
    </w:p>
    <w:p>
      <w:bookmarkStart w:id="3" w:name="chapter3"/>
      <w:pPr>
        <w:pStyle w:val="Heading1"/>
      </w:pPr>
      <w:r>
        <w:t>四 37项恢复镇痛随访模板</w:t>
      </w:r>
      <w:bookmarkEnd w:id="3"/>
    </w:p>
    <w:p>
      <w:pPr>
        <w:pStyle w:val="Heading2"/>
      </w:pPr>
      <w:r>
        <w:t>01 PACU入室记录</w:t>
      </w:r>
    </w:p>
    <w:p>
      <w:r>
        <w:t>必需输入：实际到达、交接双方、术式方式、气道、支持和主要风险。逻辑及限制：入室与交接完成时间分别记录。</w:t>
      </w:r>
    </w:p>
    <w:p>
      <w:pPr>
        <w:keepNext/>
      </w:pPr>
      <w:r>
        <w:rPr>
          <w:rFonts w:ascii="宋体" w:hAnsi="宋体" w:eastAsia="宋体"/>
          <w:b/>
          <w:color w:val="000000"/>
          <w:sz w:val="21"/>
        </w:rPr>
        <w:t>【日期 时间】 PACU入室记录</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PACU入室记录取得【实际到达、交接双方、术式方式、气道、支持和主要风险】，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02 入室意识状态</w:t>
      </w:r>
    </w:p>
    <w:p>
      <w:r>
        <w:t>必需输入：唤醒反应、定向力、镇静条件及时间。逻辑及限制：未访视不能填清醒，不能以评分总分反推意识。</w:t>
      </w:r>
    </w:p>
    <w:p>
      <w:pPr>
        <w:keepNext/>
      </w:pPr>
      <w:r>
        <w:rPr>
          <w:rFonts w:ascii="宋体" w:hAnsi="宋体" w:eastAsia="宋体"/>
          <w:b/>
          <w:color w:val="000000"/>
          <w:sz w:val="21"/>
        </w:rPr>
        <w:t>【日期 时间】 入室意识状态</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入室意识状态取得【唤醒反应、定向力、镇静条件及时间】，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03 呼吸和氧合状态</w:t>
      </w:r>
    </w:p>
    <w:p>
      <w:r>
        <w:t>必需输入：呼吸频率、模式、SpO2、给氧方式流量、EtCO2条件。逻辑及限制：给氧下SpO2正常不能排除低通气。</w:t>
      </w:r>
    </w:p>
    <w:p>
      <w:pPr>
        <w:keepNext/>
      </w:pPr>
      <w:r>
        <w:rPr>
          <w:rFonts w:ascii="宋体" w:hAnsi="宋体" w:eastAsia="宋体"/>
          <w:b/>
          <w:color w:val="000000"/>
          <w:sz w:val="21"/>
        </w:rPr>
        <w:t>【日期 时间】 呼吸和氧合状态</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呼吸和氧合状态取得【呼吸频率、模式、SpO2、给氧方式流量、EtCO2条件】，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04 气道状态</w:t>
      </w:r>
    </w:p>
    <w:p>
      <w:r>
        <w:t>必需输入：导管类型位置、通畅、保护反射与实际拔管。逻辑及限制：计划拔管不改变当前在管状态。</w:t>
      </w:r>
    </w:p>
    <w:p>
      <w:pPr>
        <w:keepNext/>
      </w:pPr>
      <w:r>
        <w:rPr>
          <w:rFonts w:ascii="宋体" w:hAnsi="宋体" w:eastAsia="宋体"/>
          <w:b/>
          <w:color w:val="000000"/>
          <w:sz w:val="21"/>
        </w:rPr>
        <w:t>【日期 时间】 气道状态</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气道状态取得【导管类型位置、通畅、保护反射与实际拔管】，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05 血压和心率</w:t>
      </w:r>
    </w:p>
    <w:p>
      <w:r>
        <w:t>必需输入：血压心率单位、来源、体位与基线。逻辑及限制：与术前相比须选明确基线，不能仅写循环平稳。</w:t>
      </w:r>
    </w:p>
    <w:p>
      <w:pPr>
        <w:keepNext/>
      </w:pPr>
      <w:r>
        <w:rPr>
          <w:rFonts w:ascii="宋体" w:hAnsi="宋体" w:eastAsia="宋体"/>
          <w:b/>
          <w:color w:val="000000"/>
          <w:sz w:val="21"/>
        </w:rPr>
        <w:t>【日期 时间】 血压和心率</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血压和心率取得【血压心率单位、来源、体位与基线】，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06 体温</w:t>
      </w:r>
    </w:p>
    <w:p>
      <w:r>
        <w:t>必需输入：测温部位、设备、实际值与保温反应。逻辑及限制：未测不能写正常。</w:t>
      </w:r>
    </w:p>
    <w:p>
      <w:pPr>
        <w:keepNext/>
      </w:pPr>
      <w:r>
        <w:rPr>
          <w:rFonts w:ascii="宋体" w:hAnsi="宋体" w:eastAsia="宋体"/>
          <w:b/>
          <w:color w:val="000000"/>
          <w:sz w:val="21"/>
        </w:rPr>
        <w:t>【日期 时间】 体温</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体温取得【测温部位、设备、实际值与保温反应】，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07 疼痛评估</w:t>
      </w:r>
    </w:p>
    <w:p>
      <w:r>
        <w:t>必需输入：量表版本、静息活动评分、评估时间。逻辑及限制：交流障碍者使用适合的观察量表，不反推NRS。</w:t>
      </w:r>
    </w:p>
    <w:p>
      <w:pPr>
        <w:keepNext/>
      </w:pPr>
      <w:r>
        <w:rPr>
          <w:rFonts w:ascii="宋体" w:hAnsi="宋体" w:eastAsia="宋体"/>
          <w:b/>
          <w:color w:val="000000"/>
          <w:sz w:val="21"/>
        </w:rPr>
        <w:t>【日期 时间】 疼痛评估</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疼痛评估取得【量表版本、静息活动评分、评估时间】，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08 恶心呕吐评估</w:t>
      </w:r>
    </w:p>
    <w:p>
      <w:r>
        <w:t>必需输入：恶心呕吐次数时点、已给预防和治疗。逻辑及限制：风险高不等于已经PONV，治疗反应须复评。</w:t>
      </w:r>
    </w:p>
    <w:p>
      <w:pPr>
        <w:keepNext/>
      </w:pPr>
      <w:r>
        <w:rPr>
          <w:rFonts w:ascii="宋体" w:hAnsi="宋体" w:eastAsia="宋体"/>
          <w:b/>
          <w:color w:val="000000"/>
          <w:sz w:val="21"/>
        </w:rPr>
        <w:t>【日期 时间】 恶心呕吐评估</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恶心呕吐评估取得【恶心呕吐次数时点、已给预防和治疗】，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09 术后出血及其他异常</w:t>
      </w:r>
    </w:p>
    <w:p>
      <w:r>
        <w:t>必需输入：敷料引流出血、神经和相关异常证据。逻辑及限制：不能把未观察概括无出血。</w:t>
      </w:r>
    </w:p>
    <w:p>
      <w:pPr>
        <w:keepNext/>
      </w:pPr>
      <w:r>
        <w:rPr>
          <w:rFonts w:ascii="宋体" w:hAnsi="宋体" w:eastAsia="宋体"/>
          <w:b/>
          <w:color w:val="000000"/>
          <w:sz w:val="21"/>
        </w:rPr>
        <w:t>【日期 时间】 术后出血及其他异常</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术后出血及其他异常取得【敷料引流出血、神经和相关异常证据】，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10 恢复期治疗</w:t>
      </w:r>
    </w:p>
    <w:p>
      <w:r>
        <w:t>必需输入：医嘱、实际执行时间药物剂量途径及反应。逻辑及限制：治疗计划不能写已治疗。</w:t>
      </w:r>
    </w:p>
    <w:p>
      <w:pPr>
        <w:keepNext/>
      </w:pPr>
      <w:r>
        <w:rPr>
          <w:rFonts w:ascii="宋体" w:hAnsi="宋体" w:eastAsia="宋体"/>
          <w:b/>
          <w:color w:val="000000"/>
          <w:sz w:val="21"/>
        </w:rPr>
        <w:t>【日期 时间】 恢复期治疗</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恢复期治疗取得【医嘱、实际执行时间药物剂量途径及反应】，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11 非计划气道处理</w:t>
      </w:r>
    </w:p>
    <w:p>
      <w:r>
        <w:t>必需输入：触发证据、呼叫、通气与每次气道操作。逻辑及限制：重新插管和原拔管时间独立。</w:t>
      </w:r>
    </w:p>
    <w:p>
      <w:pPr>
        <w:keepNext/>
      </w:pPr>
      <w:r>
        <w:rPr>
          <w:rFonts w:ascii="宋体" w:hAnsi="宋体" w:eastAsia="宋体"/>
          <w:b/>
          <w:color w:val="000000"/>
          <w:sz w:val="21"/>
        </w:rPr>
        <w:t>【日期 时间】 非计划气道处理</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非计划气道处理取得【触发证据、呼叫、通气与每次气道操作】，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12 复苏期异常病程</w:t>
      </w:r>
    </w:p>
    <w:p>
      <w:r>
        <w:t>必需输入：异常发现、判断、处理、反应及升级去向。逻辑及限制：不以评分正常掩盖临床恶化。</w:t>
      </w:r>
    </w:p>
    <w:p>
      <w:pPr>
        <w:keepNext/>
      </w:pPr>
      <w:r>
        <w:rPr>
          <w:rFonts w:ascii="宋体" w:hAnsi="宋体" w:eastAsia="宋体"/>
          <w:b/>
          <w:color w:val="000000"/>
          <w:sz w:val="21"/>
        </w:rPr>
        <w:t>【日期 时间】 复苏期异常病程</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复苏期异常病程取得【异常发现、判断、处理、反应及升级去向】，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13 恢复评分</w:t>
      </w:r>
    </w:p>
    <w:p>
      <w:r>
        <w:t>必需输入：体系版本、五项实际输入、各分和总分及时间。逻辑及限制：缺任一项不出完整总分；分数不能代替转出决定。</w:t>
      </w:r>
    </w:p>
    <w:p>
      <w:pPr>
        <w:keepNext/>
      </w:pPr>
      <w:r>
        <w:rPr>
          <w:rFonts w:ascii="宋体" w:hAnsi="宋体" w:eastAsia="宋体"/>
          <w:b/>
          <w:color w:val="000000"/>
          <w:sz w:val="21"/>
        </w:rPr>
        <w:t>【日期 时间】 恢复评分</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恢复评分取得【体系版本、五项实际输入、各分和总分及时间】，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14 PACU转出评估</w:t>
      </w:r>
    </w:p>
    <w:p>
      <w:r>
        <w:t>必需输入：评价时间、意识呼吸循环、疼痛PONV出血、责任医师意见。逻辑及限制：评价与实际离室分别记录，有分数不自动离室。</w:t>
      </w:r>
    </w:p>
    <w:p>
      <w:pPr>
        <w:keepNext/>
      </w:pPr>
      <w:r>
        <w:rPr>
          <w:rFonts w:ascii="宋体" w:hAnsi="宋体" w:eastAsia="宋体"/>
          <w:b/>
          <w:color w:val="000000"/>
          <w:sz w:val="21"/>
        </w:rPr>
        <w:t>【日期 时间】 PACU转出评估</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PACU转出评估取得【评价时间、意识呼吸循环、疼痛PONV出血、责任医师意见】，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15 转病房或ICU交接</w:t>
      </w:r>
    </w:p>
    <w:p>
      <w:r>
        <w:t>必需输入：出发到达时间、持续支持、管道药物、接收者和待办。逻辑及限制：未接收不能写交接完成。</w:t>
      </w:r>
    </w:p>
    <w:p>
      <w:pPr>
        <w:keepNext/>
      </w:pPr>
      <w:r>
        <w:rPr>
          <w:rFonts w:ascii="宋体" w:hAnsi="宋体" w:eastAsia="宋体"/>
          <w:b/>
          <w:color w:val="000000"/>
          <w:sz w:val="21"/>
        </w:rPr>
        <w:t>【日期 时间】 转病房或ICU交接</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转病房或ICU交接取得【出发到达时间、持续支持、管道药物、接收者和待办】，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16 多模式镇痛</w:t>
      </w:r>
    </w:p>
    <w:p>
      <w:r>
        <w:t>必需输入：各成分名称、药物或非药物实际执行与效果。逻辑及限制：多模式不等于必须给固定组合。</w:t>
      </w:r>
    </w:p>
    <w:p>
      <w:pPr>
        <w:keepNext/>
      </w:pPr>
      <w:r>
        <w:rPr>
          <w:rFonts w:ascii="宋体" w:hAnsi="宋体" w:eastAsia="宋体"/>
          <w:b/>
          <w:color w:val="000000"/>
          <w:sz w:val="21"/>
        </w:rPr>
        <w:t>【日期 时间】 多模式镇痛</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多模式镇痛取得【各成分名称、药物或非药物实际执行与效果】，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17 静脉患者自控镇痛</w:t>
      </w:r>
    </w:p>
    <w:p>
      <w:r>
        <w:t>必需输入：药物总量总容积浓度、通路、背景/单次量、锁定和限量。逻辑及限制：无处方核对不生成参数；实际启用和按压统计分开。</w:t>
      </w:r>
    </w:p>
    <w:p>
      <w:pPr>
        <w:keepNext/>
      </w:pPr>
      <w:r>
        <w:rPr>
          <w:rFonts w:ascii="宋体" w:hAnsi="宋体" w:eastAsia="宋体"/>
          <w:b/>
          <w:color w:val="000000"/>
          <w:sz w:val="21"/>
        </w:rPr>
        <w:t>【日期 时间】 静脉患者自控镇痛</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静脉患者自控镇痛取得【药物总量总容积浓度、通路、背景/单次量、锁定和限量】，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18 硬膜外镇痛</w:t>
      </w:r>
    </w:p>
    <w:p>
      <w:r>
        <w:t>必需输入：导管位置、感觉运动、药物参数、抗栓与复评。逻辑及限制：停泵、拔管及再用抗栓各自事件。</w:t>
      </w:r>
    </w:p>
    <w:p>
      <w:pPr>
        <w:keepNext/>
      </w:pPr>
      <w:r>
        <w:rPr>
          <w:rFonts w:ascii="宋体" w:hAnsi="宋体" w:eastAsia="宋体"/>
          <w:b/>
          <w:color w:val="000000"/>
          <w:sz w:val="21"/>
        </w:rPr>
        <w:t>【日期 时间】 硬膜外镇痛</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硬膜外镇痛取得【导管位置、感觉运动、药物参数、抗栓与复评】，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19 外周神经导管持续镇痛</w:t>
      </w:r>
    </w:p>
    <w:p>
      <w:r>
        <w:t>必需输入：靶神经侧别、导管深度、药物、感觉运动和固定。逻辑及限制：神经损伤与残余阻滞需鉴别，不能自动写正常。</w:t>
      </w:r>
    </w:p>
    <w:p>
      <w:pPr>
        <w:keepNext/>
      </w:pPr>
      <w:r>
        <w:rPr>
          <w:rFonts w:ascii="宋体" w:hAnsi="宋体" w:eastAsia="宋体"/>
          <w:b/>
          <w:color w:val="000000"/>
          <w:sz w:val="21"/>
        </w:rPr>
        <w:t>【日期 时间】 外周神经导管持续镇痛</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外周神经导管持续镇痛取得【靶神经侧别、导管深度、药物、感觉运动和固定】，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20 其他实际实施的镇痛方式</w:t>
      </w:r>
    </w:p>
    <w:p>
      <w:r>
        <w:t>必需输入：明确方式、提供者、时间、实际效果及风险。逻辑及限制：无实际执行不写已多模式镇痛。</w:t>
      </w:r>
    </w:p>
    <w:p>
      <w:pPr>
        <w:keepNext/>
      </w:pPr>
      <w:r>
        <w:rPr>
          <w:rFonts w:ascii="宋体" w:hAnsi="宋体" w:eastAsia="宋体"/>
          <w:b/>
          <w:color w:val="000000"/>
          <w:sz w:val="21"/>
        </w:rPr>
        <w:t>【日期 时间】 其他实际实施的镇痛方式</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其他实际实施的镇痛方式取得【明确方式、提供者、时间、实际效果及风险】，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21 疼痛评分</w:t>
      </w:r>
    </w:p>
    <w:p>
      <w:r>
        <w:t>必需输入：量表适用性、静息及活动、时间、当前治疗。逻辑及限制：不同量表数值不直接比较。</w:t>
      </w:r>
    </w:p>
    <w:p>
      <w:pPr>
        <w:keepNext/>
      </w:pPr>
      <w:r>
        <w:rPr>
          <w:rFonts w:ascii="宋体" w:hAnsi="宋体" w:eastAsia="宋体"/>
          <w:b/>
          <w:color w:val="000000"/>
          <w:sz w:val="21"/>
        </w:rPr>
        <w:t>【日期 时间】 疼痛评分</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疼痛评分取得【量表适用性、静息及活动、时间、当前治疗】，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22 镇痛泵参数记录</w:t>
      </w:r>
    </w:p>
    <w:p>
      <w:r>
        <w:t>必需输入：药物浓度、背景、单次、锁定、限量、装置和核对者。逻辑及限制：处方参数与机器实际设置冲突须阻断净稿。</w:t>
      </w:r>
    </w:p>
    <w:p>
      <w:pPr>
        <w:keepNext/>
      </w:pPr>
      <w:r>
        <w:rPr>
          <w:rFonts w:ascii="宋体" w:hAnsi="宋体" w:eastAsia="宋体"/>
          <w:b/>
          <w:color w:val="000000"/>
          <w:sz w:val="21"/>
        </w:rPr>
        <w:t>【日期 时间】 镇痛泵参数记录</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镇痛泵参数记录取得【药物浓度、背景、单次、锁定、限量、装置和核对者】，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23 镇痛效果复评</w:t>
      </w:r>
    </w:p>
    <w:p>
      <w:r>
        <w:t>必需输入：调整前后同条件评分、呼吸镇静与观察时间。逻辑及限制：治疗后未复评不填有效。</w:t>
      </w:r>
    </w:p>
    <w:p>
      <w:pPr>
        <w:keepNext/>
      </w:pPr>
      <w:r>
        <w:rPr>
          <w:rFonts w:ascii="宋体" w:hAnsi="宋体" w:eastAsia="宋体"/>
          <w:b/>
          <w:color w:val="000000"/>
          <w:sz w:val="21"/>
        </w:rPr>
        <w:t>【日期 时间】 镇痛效果复评</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镇痛效果复评取得【调整前后同条件评分、呼吸镇静与观察时间】，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24 镇痛相关不良反应</w:t>
      </w:r>
    </w:p>
    <w:p>
      <w:r>
        <w:t>必需输入：嗜睡呼吸抑制、恶心瘙痒、低压和运动感觉等。逻辑及限制：与药物时序相关不等于确定因果。</w:t>
      </w:r>
    </w:p>
    <w:p>
      <w:pPr>
        <w:keepNext/>
      </w:pPr>
      <w:r>
        <w:rPr>
          <w:rFonts w:ascii="宋体" w:hAnsi="宋体" w:eastAsia="宋体"/>
          <w:b/>
          <w:color w:val="000000"/>
          <w:sz w:val="21"/>
        </w:rPr>
        <w:t>【日期 时间】 镇痛相关不良反应</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镇痛相关不良反应取得【嗜睡呼吸抑制、恶心瘙痒、低压和运动感觉等】，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25 镇痛方案调整</w:t>
      </w:r>
    </w:p>
    <w:p>
      <w:r>
        <w:t>必需输入：决定人、原因、原方案、新方案及实际改变时间。逻辑及限制：医嘱调整与机器调整分开。</w:t>
      </w:r>
    </w:p>
    <w:p>
      <w:pPr>
        <w:keepNext/>
      </w:pPr>
      <w:r>
        <w:rPr>
          <w:rFonts w:ascii="宋体" w:hAnsi="宋体" w:eastAsia="宋体"/>
          <w:b/>
          <w:color w:val="000000"/>
          <w:sz w:val="21"/>
        </w:rPr>
        <w:t>【日期 时间】 镇痛方案调整</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镇痛方案调整取得【决定人、原因、原方案、新方案及实际改变时间】，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26 镇痛导管或泵停止使用</w:t>
      </w:r>
    </w:p>
    <w:p>
      <w:r>
        <w:t>必需输入：实际停止、残液、停用原因；拔管时间完整性与抗栓。逻辑及限制：泵停止不等于导管已拔除。</w:t>
      </w:r>
    </w:p>
    <w:p>
      <w:pPr>
        <w:keepNext/>
      </w:pPr>
      <w:r>
        <w:rPr>
          <w:rFonts w:ascii="宋体" w:hAnsi="宋体" w:eastAsia="宋体"/>
          <w:b/>
          <w:color w:val="000000"/>
          <w:sz w:val="21"/>
        </w:rPr>
        <w:t>【日期 时间】 镇痛导管或泵停止使用</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镇痛导管或泵停止使用取得【实际停止、残液、停用原因；拔管时间完整性与抗栓】，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27 术后意识及精神状态</w:t>
      </w:r>
    </w:p>
    <w:p>
      <w:r>
        <w:t>必需输入：真实访视时间、意识认知基线比较及谵妄工具。逻辑及限制：术后谵妄需真实评估，不从高龄自动诊断。</w:t>
      </w:r>
    </w:p>
    <w:p>
      <w:pPr>
        <w:keepNext/>
      </w:pPr>
      <w:r>
        <w:rPr>
          <w:rFonts w:ascii="宋体" w:hAnsi="宋体" w:eastAsia="宋体"/>
          <w:b/>
          <w:color w:val="000000"/>
          <w:sz w:val="21"/>
        </w:rPr>
        <w:t>【日期 时间】 术后意识及精神状态</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术后意识及精神状态取得【真实访视时间、意识认知基线比较及谵妄工具】，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28 呼吸情况</w:t>
      </w:r>
    </w:p>
    <w:p>
      <w:r>
        <w:t>必需输入：频率、氧疗、通气、主诉及相关检查。逻辑及限制：病房数据不自动冒充麻醉医师亲查。</w:t>
      </w:r>
    </w:p>
    <w:p>
      <w:pPr>
        <w:keepNext/>
      </w:pPr>
      <w:r>
        <w:rPr>
          <w:rFonts w:ascii="宋体" w:hAnsi="宋体" w:eastAsia="宋体"/>
          <w:b/>
          <w:color w:val="000000"/>
          <w:sz w:val="21"/>
        </w:rPr>
        <w:t>【日期 时间】 呼吸情况</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呼吸情况取得【频率、氧疗、通气、主诉及相关检查】，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29 循环情况</w:t>
      </w:r>
    </w:p>
    <w:p>
      <w:r>
        <w:t>必需输入：血压心率和支持、体位症状。逻辑及限制：单次正常值不证明整个术后稳定。</w:t>
      </w:r>
    </w:p>
    <w:p>
      <w:pPr>
        <w:keepNext/>
      </w:pPr>
      <w:r>
        <w:rPr>
          <w:rFonts w:ascii="宋体" w:hAnsi="宋体" w:eastAsia="宋体"/>
          <w:b/>
          <w:color w:val="000000"/>
          <w:sz w:val="21"/>
        </w:rPr>
        <w:t>【日期 时间】 循环情况</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循环情况取得【血压心率和支持、体位症状】，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30 疼痛情况</w:t>
      </w:r>
    </w:p>
    <w:p>
      <w:r>
        <w:t>必需输入：量表、静息活动分、治疗及再评价。逻辑及限制：疼痛未问不能填0。</w:t>
      </w:r>
    </w:p>
    <w:p>
      <w:pPr>
        <w:keepNext/>
      </w:pPr>
      <w:r>
        <w:rPr>
          <w:rFonts w:ascii="宋体" w:hAnsi="宋体" w:eastAsia="宋体"/>
          <w:b/>
          <w:color w:val="000000"/>
          <w:sz w:val="21"/>
        </w:rPr>
        <w:t>【日期 时间】 疼痛情况</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疼痛情况取得【量表、静息活动分、治疗及再评价】，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31 恶心呕吐</w:t>
      </w:r>
    </w:p>
    <w:p>
      <w:r>
        <w:t>必需输入：恶心呕吐发生次数、补救执行和反应。逻辑及限制：未询问不写无。</w:t>
      </w:r>
    </w:p>
    <w:p>
      <w:pPr>
        <w:keepNext/>
      </w:pPr>
      <w:r>
        <w:rPr>
          <w:rFonts w:ascii="宋体" w:hAnsi="宋体" w:eastAsia="宋体"/>
          <w:b/>
          <w:color w:val="000000"/>
          <w:sz w:val="21"/>
        </w:rPr>
        <w:t>【日期 时间】 恶心呕吐</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恶心呕吐取得【恶心呕吐发生次数、补救执行和反应】，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32 咽喉不适及声音变化</w:t>
      </w:r>
    </w:p>
    <w:p>
      <w:r>
        <w:t>必需输入：咽痛声嘶、气道操作经过及持续程度。逻辑及限制：声音改变原因需判断，不能自动归因插管。</w:t>
      </w:r>
    </w:p>
    <w:p>
      <w:pPr>
        <w:keepNext/>
      </w:pPr>
      <w:r>
        <w:rPr>
          <w:rFonts w:ascii="宋体" w:hAnsi="宋体" w:eastAsia="宋体"/>
          <w:b/>
          <w:color w:val="000000"/>
          <w:sz w:val="21"/>
        </w:rPr>
        <w:t>【日期 时间】 咽喉不适及声音变化</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咽喉不适及声音变化取得【咽痛声嘶、气道操作经过及持续程度】，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33 神经功能相关异常</w:t>
      </w:r>
    </w:p>
    <w:p>
      <w:r>
        <w:t>必需输入：分布、感觉运动、发生时间、基线与进展。逻辑及限制：新发或进展异常立即报告实际团队评估。</w:t>
      </w:r>
    </w:p>
    <w:p>
      <w:pPr>
        <w:keepNext/>
      </w:pPr>
      <w:r>
        <w:rPr>
          <w:rFonts w:ascii="宋体" w:hAnsi="宋体" w:eastAsia="宋体"/>
          <w:b/>
          <w:color w:val="000000"/>
          <w:sz w:val="21"/>
        </w:rPr>
        <w:t>【日期 时间】 神经功能相关异常</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神经功能相关异常取得【分布、感觉运动、发生时间、基线与进展】，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34 区域麻醉相关并发症</w:t>
      </w:r>
    </w:p>
    <w:p>
      <w:r>
        <w:t>必需输入：穿刺部位、导管、感觉运动、头痛及感染出血迹象。逻辑及限制：高危压迫性病变不能仅归为残余阻滞。</w:t>
      </w:r>
    </w:p>
    <w:p>
      <w:pPr>
        <w:keepNext/>
      </w:pPr>
      <w:r>
        <w:rPr>
          <w:rFonts w:ascii="宋体" w:hAnsi="宋体" w:eastAsia="宋体"/>
          <w:b/>
          <w:color w:val="000000"/>
          <w:sz w:val="21"/>
        </w:rPr>
        <w:t>【日期 时间】 区域麻醉相关并发症</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区域麻醉相关并发症取得【穿刺部位、导管、感觉运动、头痛及感染出血迹象】，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35 麻醉相关其他异常</w:t>
      </w:r>
    </w:p>
    <w:p>
      <w:r>
        <w:t>必需输入：实际异常证据、确定度、检查与处置。逻辑及限制：无评估不写未见麻醉相关并发症。</w:t>
      </w:r>
    </w:p>
    <w:p>
      <w:pPr>
        <w:keepNext/>
      </w:pPr>
      <w:r>
        <w:rPr>
          <w:rFonts w:ascii="宋体" w:hAnsi="宋体" w:eastAsia="宋体"/>
          <w:b/>
          <w:color w:val="000000"/>
          <w:sz w:val="21"/>
        </w:rPr>
        <w:t>【日期 时间】 麻醉相关其他异常</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麻醉相关其他异常取得【实际异常证据、确定度、检查与处置】，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36 麻醉相关转归</w:t>
      </w:r>
    </w:p>
    <w:p>
      <w:r>
        <w:t>必需输入：已确认临床结果、去向、持续问题与责任人。逻辑及限制：行政离院不能代替医学转归。</w:t>
      </w:r>
    </w:p>
    <w:p>
      <w:pPr>
        <w:keepNext/>
      </w:pPr>
      <w:r>
        <w:rPr>
          <w:rFonts w:ascii="宋体" w:hAnsi="宋体" w:eastAsia="宋体"/>
          <w:b/>
          <w:color w:val="000000"/>
          <w:sz w:val="21"/>
        </w:rPr>
        <w:t>【日期 时间】 麻醉相关转归</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麻醉相关转归取得【已确认临床结果、去向、持续问题与责任人】，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pPr>
        <w:pStyle w:val="Heading2"/>
      </w:pPr>
      <w:r>
        <w:t>37 必要的后续观察</w:t>
      </w:r>
    </w:p>
    <w:p>
      <w:r>
        <w:t>必需输入：待复评事项、时限、接手者、告警及患者知情内容。逻辑及限制：计划随访不表示已经随访完成。</w:t>
      </w:r>
    </w:p>
    <w:p>
      <w:pPr>
        <w:keepNext/>
      </w:pPr>
      <w:r>
        <w:rPr>
          <w:rFonts w:ascii="宋体" w:hAnsi="宋体" w:eastAsia="宋体"/>
          <w:b/>
          <w:color w:val="000000"/>
          <w:sz w:val="21"/>
        </w:rPr>
        <w:t>【日期 时间】 必要的后续观察</w:t>
      </w:r>
    </w:p>
    <w:p>
      <w:pPr>
        <w:keepNext/>
        <w:spacing w:after="0"/>
      </w:pPr>
      <w:r>
        <w:rPr>
          <w:rFonts w:ascii="宋体" w:hAnsi="宋体" w:eastAsia="宋体"/>
          <w:b w:val="0"/>
          <w:color w:val="000000"/>
          <w:sz w:val="18"/>
        </w:rPr>
        <w:t>```text</w:t>
      </w:r>
    </w:p>
    <w:p>
      <w:pPr>
        <w:keepNext/>
        <w:widowControl/>
        <w:spacing w:after="40" w:line="264" w:lineRule="auto"/>
        <w:ind w:left="142"/>
      </w:pPr>
      <w:r>
        <w:t>于【本次实际评估时间】针对必要的后续观察取得【待复评事项、时限、接手者、告警及患者知情内容】，来源【实查或他人记录及人员】，责任医师判断【当前状态及确定度】，实际完成【措施、时间及反应】，拟继续【计划、复评时限与责任】。</w:t>
      </w:r>
    </w:p>
    <w:p>
      <w:pPr>
        <w:spacing w:before="0"/>
      </w:pPr>
      <w:r>
        <w:rPr>
          <w:rFonts w:ascii="宋体" w:hAnsi="宋体" w:eastAsia="宋体"/>
          <w:b w:val="0"/>
          <w:color w:val="000000"/>
          <w:sz w:val="18"/>
        </w:rPr>
        <w:t>```</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PACU恢复及转出记录</w:t>
      </w:r>
    </w:p>
    <w:p>
      <w:pPr>
        <w:keepNext/>
        <w:spacing w:after="0"/>
      </w:pPr>
      <w:r>
        <w:rPr>
          <w:rFonts w:ascii="宋体" w:hAnsi="宋体" w:eastAsia="宋体"/>
          <w:b w:val="0"/>
          <w:color w:val="000000"/>
          <w:sz w:val="18"/>
        </w:rPr>
        <w:t>```text</w:t>
      </w:r>
    </w:p>
    <w:p>
      <w:pPr>
        <w:widowControl/>
        <w:spacing w:after="40" w:line="264" w:lineRule="auto"/>
        <w:ind w:left="142"/>
      </w:pPr>
      <w:r>
        <w:t>一般资料：模拟患者SIM-09，恢复SIM-R09，2026年10月21日10:00实际进入PACU，10:03完成交接。</w:t>
      </w:r>
    </w:p>
    <w:p>
      <w:pPr>
        <w:widowControl/>
        <w:spacing w:after="40" w:line="264" w:lineRule="auto"/>
        <w:ind w:left="142"/>
      </w:pPr>
      <w:r>
        <w:t>入室：患者可唤醒，气管导管在位，持续通气参数见实际交接单；未自动记录已拔管。</w:t>
      </w:r>
    </w:p>
    <w:p>
      <w:pPr>
        <w:widowControl/>
        <w:spacing w:after="40" w:line="264" w:lineRule="auto"/>
        <w:ind w:left="142"/>
      </w:pPr>
      <w:r>
        <w:t>过程：10:08责任医师完成恢复与气道保护评价，10:10实际拔管；10:12鼻导管2L/min时SpO2 98%、呼吸16次/min、BP126/74mmHg、HR76次/min，来源SIM-MON09。</w:t>
      </w:r>
    </w:p>
    <w:p>
      <w:pPr>
        <w:widowControl/>
        <w:spacing w:after="40" w:line="264" w:lineRule="auto"/>
        <w:ind w:left="142"/>
      </w:pPr>
      <w:r>
        <w:t>评分：10:15采用院内核准改良Aldrete版本，活动2、呼吸2、循环2、意识2、氧合1，总分9；仍需给氧。</w:t>
      </w:r>
    </w:p>
    <w:p>
      <w:pPr>
        <w:keepNext/>
        <w:widowControl/>
        <w:spacing w:after="40" w:line="264" w:lineRule="auto"/>
        <w:ind w:left="142"/>
      </w:pPr>
      <w:r>
        <w:t>转出：10:20责任医师复评气道、循环、疼痛及PONV后同意转病房，10:25实际离室，10:28由模拟接收护士接收并交接继续给氧及复评事项。</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R07 电子病历共享文档规范 第12部分 麻醉术后访视记录。发布：原国家卫生计生委；正式年份：2016-08-23；实施：2017-12-01；版本：WS/T 500.12—2016。适用：术后访视独立文档头体。主要适用章节：本模块评估、管理及对应模板；核验：2026-10-29，官方元数据已核验；未实现共享接口。</w:t>
      </w:r>
    </w:p>
    <w:p>
      <w:hyperlink r:id="rId12">
        <w:r>
          <w:rPr>
            <w:sz w:val="20"/>
          </w:rPr>
          <w:t>正式来源 R07</w:t>
        </w:r>
      </w:hyperlink>
    </w:p>
    <w:p>
      <w:r>
        <w:t>R10 Standards for Postanesthesia Care。发布：ASA；正式年份：2024-10-23修订；实施：无中国法定实施日；版本：2024修订版。适用：转运、接收、恢复评价与转出责任。主要适用章节：本模块评估、管理及对应模板；核验：2026-10-29，官方正文。</w:t>
      </w:r>
    </w:p>
    <w:p>
      <w:hyperlink r:id="rId13">
        <w:r>
          <w:rPr>
            <w:sz w:val="20"/>
          </w:rPr>
          <w:t>正式来源 R10</w:t>
        </w:r>
      </w:hyperlink>
    </w:p>
    <w:p>
      <w:r>
        <w:t>R13 Fifth Consensus Guidelines for the Management of Postoperative Nausea and Vomiting Executive Summary。发布：共识工作组 Anesthesia &amp; Analgesia；正式年份：2025-11-14在线；2026正式卷期；实施：无独立实施日；版本：第五版 DOI 10.1213/ANE.0000000000007816。适用：PONV风险、预防与治疗文书框架。主要适用章节：本模块评估、管理及对应模板；核验：2026-10-29，PubMed及期刊元数据；不据摘要补造剂量或推荐等级。</w:t>
      </w:r>
    </w:p>
    <w:p>
      <w:hyperlink r:id="rId14">
        <w:r>
          <w:rPr>
            <w:sz w:val="20"/>
          </w:rPr>
          <w:t>正式来源 R13</w:t>
        </w:r>
      </w:hyperlink>
    </w:p>
    <w:p>
      <w:r>
        <w:t>R20 Practice Guidelines for Monitoring and Antagonism of Neuromuscular Blockade。发布：ASA；正式年份：2023；实施：无独立实施日；版本：2023正式指南。适用：神经肌肉监测与恢复记录。主要适用章节：本模块评估、管理及对应模板；核验：2026-10-29，ASA正式指南目录及原始期刊PDF元数据。</w:t>
      </w:r>
    </w:p>
    <w:p>
      <w:hyperlink r:id="rId15">
        <w:r>
          <w:rPr>
            <w:sz w:val="20"/>
          </w:rPr>
          <w:t>正式来源 R20</w:t>
        </w:r>
      </w:hyperlink>
    </w:p>
    <w:p>
      <w:r>
        <w:t>R21 Postoperative delirium in adult patients。发布：ESAIC；正式年份：2024-02；实施：无独立实施日；版本：2024更新。适用：成人认知基线、谵妄筛查与随访。主要适用章节：本模块评估、管理及对应模板；核验：2026-10-29，协会正式页面及开放全文；不外推儿科。</w:t>
      </w:r>
    </w:p>
    <w:p>
      <w:hyperlink r:id="rId16">
        <w:r>
          <w:rPr>
            <w:sz w:val="20"/>
          </w:rPr>
          <w:t>正式来源 R21</w:t>
        </w:r>
      </w:hyperlink>
    </w:p>
    <w:p>
      <w:r>
        <w:t>R29 2026 Practice Guideline on Perioperative Pain Management Using Local and Regional Analgesia for Cardiothoracic Surgeries Mastectomy and Abdominal Surgeries。发布：ASA；正式年份：2026；实施：无独立实施日；版本：DOI 10.1097/ALN.0000000000005790。适用：指定胸心、乳腺与腹部手术局部区域镇痛；非所有疼痛场景通用。主要适用章节：本模块评估、管理及对应模板；核验：2026-10-29，正式期刊及WFSA页面；不扩展适应范围。</w:t>
      </w:r>
    </w:p>
    <w:p>
      <w:hyperlink r:id="rId17">
        <w:r>
          <w:rPr>
            <w:sz w:val="20"/>
          </w:rPr>
          <w:t>正式来源 R29</w:t>
        </w:r>
      </w:hyperlink>
    </w:p>
    <w:p>
      <w:r>
        <w:t>R36 The post-anesthesia recovery score revisited。发布：J A Aldrete Journal of Clinical Anesthesia；正式年份：1995-02；实施：无独立实施日；版本：DOI 10.1016/0952-8180(94)00001-K。适用：改良Aldrete五项计分；WS 329附录B仅提供填写位置。主要适用章节：本模块评估、管理及对应模板；核验：2026-10-29，原始研究期刊元数据及原始论文表；院内采用版本需先核对。</w:t>
      </w:r>
    </w:p>
    <w:p>
      <w:hyperlink r:id="rId18">
        <w:r>
          <w:rPr>
            <w:sz w:val="20"/>
          </w:rPr>
          <w:t>正式来源 R36</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nhc.gov.cn/wjw/s9497/201611/9a0d6a6767774bcc8c8f7d6c67252d3a.shtml" TargetMode="External"/><Relationship Id="rId13" Type="http://schemas.openxmlformats.org/officeDocument/2006/relationships/hyperlink" Target="https://www.asahq.org/standards-and-practice-parameters/standards-for-postanesthesia-care" TargetMode="External"/><Relationship Id="rId14" Type="http://schemas.openxmlformats.org/officeDocument/2006/relationships/hyperlink" Target="https://pubmed.ncbi.nlm.nih.gov/41237407/" TargetMode="External"/><Relationship Id="rId15" Type="http://schemas.openxmlformats.org/officeDocument/2006/relationships/hyperlink" Target="https://pubs.asahq.org/anesthesiology/article-pdf/138/1/13/682670/20230100.0-00011.pdf" TargetMode="External"/><Relationship Id="rId16" Type="http://schemas.openxmlformats.org/officeDocument/2006/relationships/hyperlink" Target="https://esaic.org/guideline/postoperative-delirium/" TargetMode="External"/><Relationship Id="rId17" Type="http://schemas.openxmlformats.org/officeDocument/2006/relationships/hyperlink" Target="https://doi.org/10.1097/ALN.0000000000005790" TargetMode="External"/><Relationship Id="rId18" Type="http://schemas.openxmlformats.org/officeDocument/2006/relationships/hyperlink" Target="https://pubmed.ncbi.nlm.nih.gov/7772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麻醉后恢复室术后镇痛麻醉随访及交接管理模板库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