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麻醉科AI自动调用路由与麻醉病例状态管理规则库</w:t>
      </w:r>
    </w:p>
    <w:p>
      <w:pPr>
        <w:spacing w:after="180"/>
      </w:pPr>
      <w:r>
        <w:t>模块编号 11</w:t>
      </w:r>
    </w:p>
    <w:p>
      <w:pPr>
        <w:spacing w:after="180"/>
      </w:pPr>
      <w:r>
        <w:t>版本 V1.0    核验日期 2026年10月29日</w:t>
      </w:r>
    </w:p>
    <w:p>
      <w:pPr>
        <w:spacing w:after="180"/>
      </w:pPr>
      <w:r>
        <w:t>第二级 通用功能层</w:t>
      </w:r>
    </w:p>
    <w:p>
      <w:pPr>
        <w:spacing w:after="180"/>
      </w:pPr>
      <w:r>
        <w:t>使用对象 麻醉医师及病历质控人员</w:t>
      </w:r>
    </w:p>
    <w:p>
      <w:pPr>
        <w:spacing w:after="180"/>
      </w:pPr>
      <w:r>
        <w:t>交付性质 规则与模板库 需医师审核</w:t>
      </w:r>
    </w:p>
    <w:p>
      <w:r>
        <w:t>用隔离主键、字段包装、状态迁移和最小充分路由管理当前麻醉事件。本模块将医学资料、临床判断和实际执行分开，为本次麻醉事件生成可追溯的待审文书；关键缺失或冲突须核实后才能形成完整净稿。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患者事实数据字典</w:t>
        </w:r>
      </w:hyperlink>
    </w:p>
    <w:p>
      <w:pPr>
        <w:spacing w:after="60"/>
      </w:pPr>
      <w:hyperlink w:anchor="chapter3">
        <w:r>
          <w:t>四 状态迁移与分叉</w:t>
        </w:r>
      </w:hyperlink>
    </w:p>
    <w:p>
      <w:pPr>
        <w:spacing w:after="60"/>
      </w:pPr>
      <w:hyperlink w:anchor="chapter4">
        <w:r>
          <w:t>五 最小充分调用算法</w:t>
        </w:r>
      </w:hyperlink>
    </w:p>
    <w:p>
      <w:pPr>
        <w:spacing w:after="60"/>
      </w:pPr>
      <w:hyperlink w:anchor="chapter5">
        <w:r>
          <w:t>六 可持续使用的事件台账模板</w:t>
        </w:r>
      </w:hyperlink>
    </w:p>
    <w:p>
      <w:pPr>
        <w:spacing w:after="60"/>
      </w:pPr>
      <w:hyperlink w:anchor="chapter6">
        <w:r>
          <w:t>七 文书组合与完整输出示范</w:t>
        </w:r>
      </w:hyperlink>
    </w:p>
    <w:p>
      <w:pPr>
        <w:spacing w:after="60"/>
      </w:pPr>
      <w:hyperlink w:anchor="chapter7">
        <w:r>
          <w:t>八 真实性限制 常见错误与质控清单</w:t>
        </w:r>
      </w:hyperlink>
    </w:p>
    <w:p>
      <w:pPr>
        <w:spacing w:after="60"/>
      </w:pPr>
      <w:hyperlink w:anchor="chapter8">
        <w:r>
          <w:t>九 模块协同与验收状态</w:t>
        </w:r>
      </w:hyperlink>
    </w:p>
    <w:p>
      <w:pPr>
        <w:spacing w:after="60"/>
      </w:pPr>
      <w:hyperlink w:anchor="chapter9">
        <w:r>
          <w:t>十 参考规范与指南核验</w:t>
        </w:r>
      </w:hyperlink>
    </w:p>
    <w:p>
      <w:pPr>
        <w:spacing w:after="60"/>
      </w:pPr>
      <w:hyperlink w:anchor="chapter10">
        <w:r>
          <w:t>十一 版本维护规则</w:t>
        </w:r>
      </w:hyperlink>
    </w:p>
    <w:p>
      <w:r>
        <w:br w:type="page"/>
      </w:r>
    </w:p>
    <w:p>
      <w:bookmarkStart w:id="0" w:name="chapter0"/>
      <w:pPr>
        <w:pStyle w:val="Heading1"/>
      </w:pPr>
      <w:r>
        <w:t>一 模块定位与调用</w:t>
      </w:r>
      <w:bookmarkEnd w:id="0"/>
    </w:p>
    <w:p>
      <w:r>
        <w:t>功能定位：用隔离主键、字段包装、状态迁移和最小充分路由管理当前麻醉事件。本模块面向中国医院麻醉医师及病历质控人员，提供待人工审核的规则和模板。版本V1.0，建设及规范核验日期2026年10月29日，尚未经过医院临床上线验收。</w:t>
      </w:r>
    </w:p>
    <w:p>
      <w:r>
        <w:t>适用范围及触发：当前任务进入麻醉病历系统即调用，先定位文书、患者和本次麻醉事件。专病模块服务于具体麻醉技术和人群，不能覆盖01的真实性要求。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患者事实数据字典</w:t>
      </w:r>
      <w:bookmarkEnd w:id="2"/>
    </w:p>
    <w:tbl>
      <w:tblPr>
        <w:tblW w:type="auto" w:w="0"/>
        <w:tblLayout w:type="fixed"/>
        <w:tblLook w:firstColumn="1" w:firstRow="1" w:lastColumn="0" w:lastRow="0" w:noHBand="0" w:noVBand="1" w:val="04A0"/>
      </w:tblPr>
      <w:tblGrid>
        <w:gridCol w:w="2268"/>
        <w:gridCol w:w="2835"/>
        <w:gridCol w:w="4365"/>
      </w:tblGrid>
      <w:tr>
        <w:trPr>
          <w:tblHeader/>
        </w:trP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字段</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语义</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校验</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patient_id</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患者可靠标识</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本次核对的患者号与另一身份要素；不凭床号</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encounter_id</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本次住院或门急诊</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不把同名患者或历史住院合并</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surgery_id</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每次实际或拟手术</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未手术诊疗可not_applicable；拟与实际分开</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anesthesia_event_id</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每次麻醉事件</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同日两次、取消重排分别编号，旧ID只作关联</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procedure_id</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每次气道阻滞穿刺等</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多靶点、侧别及重复操作分别保存</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medication_event_id</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每次实际给药或变更</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连续输注起始、调整、暂停、停止独立事件</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monitoring_event_id</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每条监测采集</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采集时间、指标、值、单位、条件、有效性</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adverse_event_id</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重大异常或并发症事件</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表型、确定度、处理、反应、复评和交接</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recovery_event_id</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PACU或等效恢复阶段</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评分、转出评价和实际转出各自时间</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fact_id value status</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事实主键及值状态</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空值不等于0或阴性；计划不是事实执行</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event_time recorded_at available_at</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发生、记录、可用时间</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跨午夜完整日期，时间精度不足保留区间</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source_id source_type author</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来源标识类型与人员</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设备/医师/护理/手术/检验分开，保留原文</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verification certainty</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核验及判断层级</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未核/待核/已核/冲突；风险/疑似/确证/排除</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supersedes reason</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更正关系与理由</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追加修订、不覆盖原始设备记录，不倒改旧认识</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document_cutoff version</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文书截止与版本</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只能引用截止前已可用资料，签名后按院内更正流程</w:t>
            </w:r>
          </w:p>
        </w:tc>
      </w:tr>
    </w:tbl>
    <w:p>
      <w:pPr>
        <w:spacing w:after="40"/>
      </w:pPr>
    </w:p>
    <w:p>
      <w:bookmarkStart w:id="3" w:name="chapter3"/>
      <w:pPr>
        <w:pStyle w:val="Heading1"/>
      </w:pPr>
      <w:r>
        <w:t>四 状态迁移与分叉</w:t>
      </w:r>
      <w:bookmarkEnd w:id="3"/>
    </w:p>
    <w:tbl>
      <w:tblPr>
        <w:tblW w:type="auto" w:w="0"/>
        <w:tblLayout w:type="fixed"/>
        <w:tblLook w:firstColumn="1" w:firstRow="1" w:lastColumn="0" w:lastRow="0" w:noHBand="0" w:noVBand="1" w:val="04A0"/>
      </w:tblPr>
      <w:tblGrid>
        <w:gridCol w:w="2268"/>
        <w:gridCol w:w="2835"/>
        <w:gridCol w:w="4365"/>
      </w:tblGrid>
      <w:tr>
        <w:trPr>
          <w:tblHeader/>
        </w:trP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迁移</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执行证据</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禁止推断</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未评估→拟评估→已完成术前访视</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真实访谈查体和记录</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仅预约不能跳转已评估</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已访视→麻醉计划已制定</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责任医师明确确认方案</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AI建议或未签同意不能算执行</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计划→麻醉准备完成</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实际准备核查证据</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备血不等于输血、器械备妥不等于插管</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准备→麻醉已开始→进行中</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符合标准定义的实际监测或治疗及后续照护</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不能靠手术安排或术前记录推进</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进行中→麻醉方式转换</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真实变更决定及实际技术开始</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新procedure_id；连续照护可保持同一麻醉ID</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进行中→麻醉已结束</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标准定义对应的出室或移交证据</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停药或手术结束不单独触发</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恢复阶段→PACU恢复中→PACU转出</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实际到达、复评、医师决定及实际离室</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评分达标不自动推进转出</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进行中或结束→转入ICU</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真实转运到达接收</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允许带管，不强制经过PACU</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恢复或ICU→麻醉后随访→事件完成</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真实访视及待办责任已交接</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关闭不抹除未解决并发症随访</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拟评估或计划或准备→麻醉取消</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取消决定、原因和真实已做事项</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重新安排另建麻醉事件，未执行药不继承</w:t>
            </w:r>
          </w:p>
        </w:tc>
      </w:tr>
    </w:tbl>
    <w:p>
      <w:pPr>
        <w:spacing w:after="40"/>
      </w:pPr>
    </w:p>
    <w:p>
      <w:r>
        <w:t>麻醉实施阶段、气道状态、输注状态、恢复阶段分别保存，不能压成单个全局标签。气道状态可为无人工气道、喉罩在位、气管导管在位、已拔管、再次插管等，必须由相应操作证据推进。PACU路径可与按标准记录的麻醉结束存在不同关系，不从状态名称补时间。</w:t>
      </w:r>
    </w:p>
    <w:p>
      <w:r>
        <w:t>同日二次手术或取消后重排新建麻醉事件；连续照护中区域转全麻通常保留同一事件并新增技术操作。重新建立照护且形成独立麻醉时由责任人员确认新事件及关联。旧事件仅能有来源地用于病史，不复制旧给药、器械、ASA或恢复为新事实。</w:t>
      </w:r>
    </w:p>
    <w:p>
      <w:bookmarkStart w:id="4" w:name="chapter4"/>
      <w:pPr>
        <w:pStyle w:val="Heading1"/>
      </w:pPr>
      <w:r>
        <w:t>五 最小充分调用算法</w:t>
      </w:r>
      <w:bookmarkEnd w:id="4"/>
    </w:p>
    <w:p>
      <w:pPr>
        <w:keepNext/>
      </w:pPr>
      <w:r>
        <w:rPr>
          <w:rFonts w:ascii="宋体" w:hAnsi="宋体" w:eastAsia="宋体"/>
          <w:b/>
          <w:color w:val="000000"/>
          <w:sz w:val="21"/>
        </w:rPr>
        <w:t>路由伪代码 供AI执行的设计</w:t>
      </w:r>
    </w:p>
    <w:p>
      <w:pPr>
        <w:keepNext/>
        <w:spacing w:after="0"/>
      </w:pPr>
      <w:r>
        <w:rPr>
          <w:rFonts w:ascii="宋体" w:hAnsi="宋体" w:eastAsia="宋体"/>
          <w:b w:val="0"/>
          <w:color w:val="000000"/>
          <w:sz w:val="18"/>
        </w:rPr>
        <w:t>```text</w:t>
      </w:r>
    </w:p>
    <w:p>
      <w:pPr>
        <w:widowControl/>
        <w:spacing w:after="40" w:line="264" w:lineRule="auto"/>
        <w:ind w:left="142"/>
      </w:pPr>
      <w:r>
        <w:t>读取00、01和11</w:t>
      </w:r>
    </w:p>
    <w:p>
      <w:pPr>
        <w:widowControl/>
        <w:spacing w:after="40" w:line="264" w:lineRule="auto"/>
        <w:ind w:left="142"/>
      </w:pPr>
      <w:r>
        <w:t>锁定patient_id、encounter_id、surgery_id、anesthesia_event_id及cutoff</w:t>
      </w:r>
    </w:p>
    <w:p>
      <w:pPr>
        <w:widowControl/>
        <w:spacing w:after="40" w:line="264" w:lineRule="auto"/>
        <w:ind w:left="142"/>
      </w:pPr>
      <w:r>
        <w:t>解析任务为术前、实施、异常、恢复、镇痛或访视</w:t>
      </w:r>
    </w:p>
    <w:p>
      <w:pPr>
        <w:widowControl/>
        <w:spacing w:after="40" w:line="264" w:lineRule="auto"/>
        <w:ind w:left="142"/>
      </w:pPr>
      <w:r>
        <w:t>按任务选择02至09中的必要模块</w:t>
      </w:r>
    </w:p>
    <w:p>
      <w:pPr>
        <w:widowControl/>
        <w:spacing w:after="40" w:line="264" w:lineRule="auto"/>
        <w:ind w:left="142"/>
      </w:pPr>
      <w:r>
        <w:t>按实际技术、专科、人群选择101至108中的必要模块</w:t>
      </w:r>
    </w:p>
    <w:p>
      <w:pPr>
        <w:widowControl/>
        <w:spacing w:after="40" w:line="264" w:lineRule="auto"/>
        <w:ind w:left="142"/>
      </w:pPr>
      <w:r>
        <w:t>只合并相同归属且在cutoff前可用的事实；保留冲突</w:t>
      </w:r>
    </w:p>
    <w:p>
      <w:pPr>
        <w:widowControl/>
        <w:spacing w:after="40" w:line="264" w:lineRule="auto"/>
        <w:ind w:left="142"/>
      </w:pPr>
      <w:r>
        <w:t>按证据更新各子状态；计划不推进执行状态</w:t>
      </w:r>
    </w:p>
    <w:p>
      <w:pPr>
        <w:widowControl/>
        <w:spacing w:after="40" w:line="264" w:lineRule="auto"/>
        <w:ind w:left="142"/>
      </w:pPr>
      <w:r>
        <w:t>按模板生成待审稿；10终审</w:t>
      </w:r>
    </w:p>
    <w:p>
      <w:pPr>
        <w:widowControl/>
        <w:spacing w:after="40" w:line="264" w:lineRule="auto"/>
        <w:ind w:left="142"/>
      </w:pPr>
      <w:r>
        <w:t>严重或重要缺项阻断有关净稿并列核实清单</w:t>
      </w:r>
    </w:p>
    <w:p>
      <w:pPr>
        <w:keepNext/>
        <w:widowControl/>
        <w:spacing w:after="40" w:line="264" w:lineRule="auto"/>
        <w:ind w:left="142"/>
      </w:pPr>
      <w:r>
        <w:t>有痕确认修正后重新审查，医师审核签署</w:t>
      </w:r>
    </w:p>
    <w:p>
      <w:pPr>
        <w:spacing w:before="0"/>
      </w:pPr>
      <w:r>
        <w:rPr>
          <w:rFonts w:ascii="宋体" w:hAnsi="宋体" w:eastAsia="宋体"/>
          <w:b w:val="0"/>
          <w:color w:val="000000"/>
          <w:sz w:val="18"/>
        </w:rPr>
        <w:t>```</w:t>
      </w:r>
    </w:p>
    <w:tbl>
      <w:tblPr>
        <w:tblW w:type="auto" w:w="0"/>
        <w:tblLayout w:type="fixed"/>
        <w:tblLook w:firstColumn="1" w:firstRow="1" w:lastColumn="0" w:lastRow="0" w:noHBand="0" w:noVBand="1" w:val="04A0"/>
      </w:tblPr>
      <w:tblGrid>
        <w:gridCol w:w="2268"/>
        <w:gridCol w:w="2835"/>
        <w:gridCol w:w="4365"/>
      </w:tblGrid>
      <w:tr>
        <w:trPr>
          <w:tblHeader/>
        </w:trP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任务</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加载模块</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执行前核对</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择期术前访视</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03 04 相关专业模块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只分析已提供检查，计划有医师确认</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全麻气管插管记录</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00 01 11 02 05 07 101 10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实际操作、给药与逐时监测不可缺</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困难气道主任评估</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00 01 11 02 03 05 08 101 10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真实气道证据和主任参与</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超声神经阻滞</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00 01 11 02 05 07 102 10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侧别、药物和效果分开</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高风险心脏病术前评估</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00 01 11 02 03 04 08 103 10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非心脏术心血管指南范围明确</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神经外科开颅记录</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00 01 11 02 04 05 104 10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神经基线和实际监测</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急诊剖宫产评估</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00 01 11 02 03 05 105 10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母胎分源与真实紧急性</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高龄多病评估</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00 01 11 02 03 04 106 10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衰弱认知与用药</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创伤术中循环不稳定</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00 01 11 02 04 06 07 107 10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先现场支持，后整理记录</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胃镜后PACU恢复</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00 01 11 02 05 09 108 10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恢复与离院独立</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呼吸抑制再次插管</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00 01 11 02 05 06 09 101 10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拔管及再插管独立事件</w:t>
            </w:r>
          </w:p>
        </w:tc>
      </w:tr>
      <w:t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麻醉术后访视</w:t>
            </w:r>
          </w:p>
        </w:tc>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00 01 11 02 09 相关专业模块 10</w:t>
            </w:r>
          </w:p>
        </w:tc>
        <w:tc>
          <w:tcPr>
            <w:tcW w:type="dxa" w:w="43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实际访视，不能推断无并发症</w:t>
            </w:r>
          </w:p>
        </w:tc>
      </w:tr>
    </w:tbl>
    <w:p>
      <w:pPr>
        <w:spacing w:after="40"/>
      </w:pPr>
    </w:p>
    <w:p>
      <w:bookmarkStart w:id="5" w:name="chapter5"/>
      <w:pPr>
        <w:pStyle w:val="Heading1"/>
      </w:pPr>
      <w:r>
        <w:t>六 可持续使用的事件台账模板</w:t>
      </w:r>
      <w:bookmarkEnd w:id="5"/>
    </w:p>
    <w:p>
      <w:pPr>
        <w:keepNext/>
      </w:pPr>
      <w:r>
        <w:rPr>
          <w:rFonts w:ascii="宋体" w:hAnsi="宋体" w:eastAsia="宋体"/>
          <w:b/>
          <w:color w:val="000000"/>
          <w:sz w:val="21"/>
        </w:rPr>
        <w:t>病例台账 保存时遵守医院权限及隐私制度</w:t>
      </w:r>
    </w:p>
    <w:p>
      <w:pPr>
        <w:keepNext/>
        <w:spacing w:after="0"/>
      </w:pPr>
      <w:r>
        <w:rPr>
          <w:rFonts w:ascii="宋体" w:hAnsi="宋体" w:eastAsia="宋体"/>
          <w:b w:val="0"/>
          <w:color w:val="000000"/>
          <w:sz w:val="18"/>
        </w:rPr>
        <w:t>```text</w:t>
      </w:r>
    </w:p>
    <w:p>
      <w:pPr>
        <w:widowControl/>
        <w:spacing w:after="40" w:line="264" w:lineRule="auto"/>
        <w:ind w:left="142"/>
      </w:pPr>
      <w:r>
        <w:t>患者与就诊：【可靠ID和核对信息】</w:t>
      </w:r>
    </w:p>
    <w:p>
      <w:pPr>
        <w:widowControl/>
        <w:spacing w:after="40" w:line="264" w:lineRule="auto"/>
        <w:ind w:left="142"/>
      </w:pPr>
      <w:r>
        <w:t>手术或诊疗：【ID、名称、计划/实际】</w:t>
      </w:r>
    </w:p>
    <w:p>
      <w:pPr>
        <w:widowControl/>
        <w:spacing w:after="40" w:line="264" w:lineRule="auto"/>
        <w:ind w:left="142"/>
      </w:pPr>
      <w:r>
        <w:t>麻醉事件：【ID、关联旧事件、截止时点】</w:t>
      </w:r>
    </w:p>
    <w:p>
      <w:pPr>
        <w:widowControl/>
        <w:spacing w:after="40" w:line="264" w:lineRule="auto"/>
        <w:ind w:left="142"/>
      </w:pPr>
      <w:r>
        <w:t>当前各子状态：【实施、气道、给药、恢复、随访】</w:t>
      </w:r>
    </w:p>
    <w:p>
      <w:pPr>
        <w:widowControl/>
        <w:spacing w:after="40" w:line="264" w:lineRule="auto"/>
        <w:ind w:left="142"/>
      </w:pPr>
      <w:r>
        <w:t>事实登记：【fact_id、值状态、event_time、recorded_at、available_at、来源、核验】</w:t>
      </w:r>
    </w:p>
    <w:p>
      <w:pPr>
        <w:widowControl/>
        <w:spacing w:after="40" w:line="264" w:lineRule="auto"/>
        <w:ind w:left="142"/>
      </w:pPr>
      <w:r>
        <w:t>待核冲突：【原值、来源、影响和责任】</w:t>
      </w:r>
    </w:p>
    <w:p>
      <w:pPr>
        <w:widowControl/>
        <w:spacing w:after="40" w:line="264" w:lineRule="auto"/>
        <w:ind w:left="142"/>
      </w:pPr>
      <w:r>
        <w:t>文书版本：【类型、生成时间、审核签署状态】</w:t>
      </w:r>
    </w:p>
    <w:p>
      <w:pPr>
        <w:keepNext/>
        <w:widowControl/>
        <w:spacing w:after="40" w:line="264" w:lineRule="auto"/>
        <w:ind w:left="142"/>
      </w:pPr>
      <w:r>
        <w:t>交接待办：【事项、期限、责任及完成证据】</w:t>
      </w:r>
    </w:p>
    <w:p>
      <w:pPr>
        <w:spacing w:before="0"/>
      </w:pPr>
      <w:r>
        <w:rPr>
          <w:rFonts w:ascii="宋体" w:hAnsi="宋体" w:eastAsia="宋体"/>
          <w:b w:val="0"/>
          <w:color w:val="000000"/>
          <w:sz w:val="18"/>
        </w:rPr>
        <w:t>```</w:t>
      </w:r>
    </w:p>
    <w:p>
      <w:bookmarkStart w:id="6" w:name="chapter6"/>
      <w:pPr>
        <w:pStyle w:val="Heading1"/>
      </w:pPr>
      <w:r>
        <w:t>七 文书组合与完整输出示范</w:t>
      </w:r>
      <w:bookmarkEnd w:id="6"/>
    </w:p>
    <w:p>
      <w:pPr>
        <w:keepNext/>
      </w:pPr>
      <w:r>
        <w:rPr>
          <w:rFonts w:ascii="宋体" w:hAnsi="宋体" w:eastAsia="宋体"/>
          <w:b/>
          <w:color w:val="000000"/>
          <w:sz w:val="21"/>
        </w:rPr>
        <w:t>【日期 时间】 本模块完整记录框架</w:t>
      </w:r>
    </w:p>
    <w:p>
      <w:pPr>
        <w:keepNext/>
        <w:spacing w:after="0"/>
      </w:pPr>
      <w:r>
        <w:rPr>
          <w:rFonts w:ascii="宋体" w:hAnsi="宋体" w:eastAsia="宋体"/>
          <w:b w:val="0"/>
          <w:color w:val="000000"/>
          <w:sz w:val="18"/>
        </w:rPr>
        <w:t>```text</w:t>
      </w:r>
    </w:p>
    <w:p>
      <w:pPr>
        <w:widowControl/>
        <w:spacing w:after="40" w:line="264" w:lineRule="auto"/>
        <w:ind w:left="142"/>
      </w:pPr>
      <w:r>
        <w:t>对象：【本次患者及就诊、手术或诊疗、麻醉事件ID】</w:t>
      </w:r>
    </w:p>
    <w:p>
      <w:pPr>
        <w:widowControl/>
        <w:spacing w:after="40" w:line="264" w:lineRule="auto"/>
        <w:ind w:left="142"/>
      </w:pPr>
      <w:r>
        <w:t>截止：【事实可用截止时点及记录版本】</w:t>
      </w:r>
    </w:p>
    <w:p>
      <w:pPr>
        <w:widowControl/>
        <w:spacing w:after="40" w:line="264" w:lineRule="auto"/>
        <w:ind w:left="142"/>
      </w:pPr>
      <w:r>
        <w:t>任务：【本次文书类型和临床阶段】</w:t>
      </w:r>
    </w:p>
    <w:p>
      <w:pPr>
        <w:widowControl/>
        <w:spacing w:after="40" w:line="264" w:lineRule="auto"/>
        <w:ind w:left="142"/>
      </w:pPr>
      <w:r>
        <w:t>资料：【原始事实、来源、时间、核验与局限】</w:t>
      </w:r>
    </w:p>
    <w:p>
      <w:pPr>
        <w:widowControl/>
        <w:spacing w:after="40" w:line="264" w:lineRule="auto"/>
        <w:ind w:left="142"/>
      </w:pPr>
      <w:r>
        <w:t>判断：【有权限医师的有据意见和确定度】</w:t>
      </w:r>
    </w:p>
    <w:p>
      <w:pPr>
        <w:widowControl/>
        <w:spacing w:after="40" w:line="264" w:lineRule="auto"/>
        <w:ind w:left="142"/>
      </w:pPr>
      <w:r>
        <w:t>计划：【拟采取事项及责任】</w:t>
      </w:r>
    </w:p>
    <w:p>
      <w:pPr>
        <w:widowControl/>
        <w:spacing w:after="40" w:line="264" w:lineRule="auto"/>
        <w:ind w:left="142"/>
      </w:pPr>
      <w:r>
        <w:t>执行：【确有记录的实际事项及时间，未发生不补】</w:t>
      </w:r>
    </w:p>
    <w:p>
      <w:pPr>
        <w:widowControl/>
        <w:spacing w:after="40" w:line="264" w:lineRule="auto"/>
        <w:ind w:left="142"/>
      </w:pPr>
      <w:r>
        <w:t>当前：【临床状态、未解决问题、真实去向】</w:t>
      </w:r>
    </w:p>
    <w:p>
      <w:pPr>
        <w:keepNext/>
        <w:widowControl/>
        <w:spacing w:after="40" w:line="264" w:lineRule="auto"/>
        <w:ind w:left="142"/>
      </w:pPr>
      <w:r>
        <w:t>后续：【复评、交接、责任和审核签署状态】</w:t>
      </w:r>
    </w:p>
    <w:p>
      <w:pPr>
        <w:spacing w:before="0"/>
      </w:pPr>
      <w:r>
        <w:rPr>
          <w:rFonts w:ascii="宋体" w:hAnsi="宋体" w:eastAsia="宋体"/>
          <w:b w:val="0"/>
          <w:color w:val="000000"/>
          <w:sz w:val="18"/>
        </w:rPr>
        <w:t>```</w:t>
      </w:r>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再次麻醉事件管理</w:t>
      </w:r>
    </w:p>
    <w:p>
      <w:pPr>
        <w:keepNext/>
        <w:spacing w:after="0"/>
      </w:pPr>
      <w:r>
        <w:rPr>
          <w:rFonts w:ascii="宋体" w:hAnsi="宋体" w:eastAsia="宋体"/>
          <w:b w:val="0"/>
          <w:color w:val="000000"/>
          <w:sz w:val="18"/>
        </w:rPr>
        <w:t>```text</w:t>
      </w:r>
    </w:p>
    <w:p>
      <w:pPr>
        <w:keepNext/>
        <w:widowControl/>
        <w:spacing w:after="40" w:line="264" w:lineRule="auto"/>
        <w:ind w:left="142"/>
      </w:pPr>
      <w:r>
        <w:t>模拟患者SIM-11上午事件SIM-A11-1已完成，下午因再次手术建立SIM-A11-2。上午拔管、给药和PACU恢复均保留在SIM-A11-1；下午仅可将上午资料带来源作为既往相关信息引用。SIM-A11-2当前状态为麻醉计划已制定，未有实际入室监测、给药或气道操作证据，不能继承上午已拔管状态，也不推进为麻醉已开始。</w:t>
      </w:r>
    </w:p>
    <w:p>
      <w:pPr>
        <w:spacing w:before="0"/>
      </w:pPr>
      <w:r>
        <w:rPr>
          <w:rFonts w:ascii="宋体" w:hAnsi="宋体" w:eastAsia="宋体"/>
          <w:b w:val="0"/>
          <w:color w:val="000000"/>
          <w:sz w:val="18"/>
        </w:rPr>
        <w:t>```</w:t>
      </w:r>
    </w:p>
    <w:p>
      <w:bookmarkStart w:id="7" w:name="chapter7"/>
      <w:pPr>
        <w:pStyle w:val="Heading1"/>
      </w:pPr>
      <w:r>
        <w:t>八 真实性限制 常见错误与质控清单</w:t>
      </w:r>
      <w:bookmarkEnd w:id="7"/>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8" w:name="chapter8"/>
      <w:pPr>
        <w:pStyle w:val="Heading1"/>
      </w:pPr>
      <w:r>
        <w:t>九 模块协同与验收状态</w:t>
      </w:r>
      <w:bookmarkEnd w:id="8"/>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9" w:name="chapter9"/>
      <w:pPr>
        <w:pStyle w:val="Heading1"/>
      </w:pPr>
      <w:r>
        <w:t>十 参考规范与指南核验</w:t>
      </w:r>
      <w:bookmarkEnd w:id="9"/>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R01 病历书写基本规范。发布：卫生部；正式年份：2010-01-22；实施：2010-03-01；版本：卫医政发〔2010〕11号。适用：全部文书；客观真实、签名、麻醉术前访视及术后访视、抢救补记。主要适用章节：本模块评估、管理及对应模板；核验：2026-10-29，官方正文。</w:t>
      </w:r>
    </w:p>
    <w:p>
      <w:hyperlink r:id="rId11">
        <w:r>
          <w:rPr>
            <w:sz w:val="20"/>
          </w:rPr>
          <w:t>正式来源 R01</w:t>
        </w:r>
      </w:hyperlink>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2">
        <w:r>
          <w:rPr>
            <w:sz w:val="20"/>
          </w:rPr>
          <w:t>正式来源 R03</w:t>
        </w:r>
      </w:hyperlink>
    </w:p>
    <w:p>
      <w:r>
        <w:t>R05 电子病历共享文档规范 第10部分 麻醉术前访视记录。发布：原国家卫生计生委；正式年份：2016-08-23；实施：2017-12-01；版本：WS/T 500.10—2016。适用：术前访视文档头体与独立文书边界。主要适用章节：本模块评估、管理及对应模板；核验：2026-10-29，官方标准目录与元数据；未实现XML共享接口。</w:t>
      </w:r>
    </w:p>
    <w:p>
      <w:hyperlink r:id="rId13">
        <w:r>
          <w:rPr>
            <w:sz w:val="20"/>
          </w:rPr>
          <w:t>正式来源 R05</w:t>
        </w:r>
      </w:hyperlink>
    </w:p>
    <w:p>
      <w:r>
        <w:t>R06 电子病历共享文档规范 第11部分 麻醉记录。发布：原国家卫生计生委；正式年份：2016；实施：未单独核实；版本：WS/T 500.11—2016。适用：麻醉记录独立文档与共享字段。主要适用章节：本模块评估、管理及对应模板；核验：2026-10-29，官方目录确认标准及名称；实施日期与全文约束保留待核，不用于宣称接口合规。</w:t>
      </w:r>
    </w:p>
    <w:p>
      <w:hyperlink r:id="rId14">
        <w:r>
          <w:rPr>
            <w:sz w:val="20"/>
          </w:rPr>
          <w:t>正式来源 R06</w:t>
        </w:r>
      </w:hyperlink>
    </w:p>
    <w:p>
      <w:r>
        <w:t>R07 电子病历共享文档规范 第12部分 麻醉术后访视记录。发布：原国家卫生计生委；正式年份：2016-08-23；实施：2017-12-01；版本：WS/T 500.12—2016。适用：术后访视独立文档头体。主要适用章节：本模块评估、管理及对应模板；核验：2026-10-29，官方元数据已核验；未实现共享接口。</w:t>
      </w:r>
    </w:p>
    <w:p>
      <w:hyperlink r:id="rId15">
        <w:r>
          <w:rPr>
            <w:sz w:val="20"/>
          </w:rPr>
          <w:t>正式来源 R07</w:t>
        </w:r>
      </w:hyperlink>
    </w:p>
    <w:p>
      <w:bookmarkStart w:id="10" w:name="chapter10"/>
      <w:pPr>
        <w:pStyle w:val="Heading1"/>
      </w:pPr>
      <w:r>
        <w:t>十一 版本维护规则</w:t>
      </w:r>
      <w:bookmarkEnd w:id="10"/>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c.gov.cn/wjw/c100175/201002/b1bec53d90f243e0861529723f00221a.shtml" TargetMode="External"/><Relationship Id="rId12" Type="http://schemas.openxmlformats.org/officeDocument/2006/relationships/hyperlink" Target="https://wjw.fj.gov.cn/jggk/csxx/jhsyjtfzczcfgc/gzdt_37901/202409/P020240918373243810060.pdf" TargetMode="External"/><Relationship Id="rId13" Type="http://schemas.openxmlformats.org/officeDocument/2006/relationships/hyperlink" Target="https://www.nhc.gov.cn/wjw/s9497/201611/b927747887d4403d9984365d31824f2e.shtml" TargetMode="External"/><Relationship Id="rId14" Type="http://schemas.openxmlformats.org/officeDocument/2006/relationships/hyperlink" Target="https://www.nhc.gov.cn/zwgkzt/wsbzxx/wsbz.shtml" TargetMode="External"/><Relationship Id="rId15" Type="http://schemas.openxmlformats.org/officeDocument/2006/relationships/hyperlink" Target="https://www.nhc.gov.cn/wjw/s9497/201611/9a0d6a6767774bcc8c8f7d6c67252d3a.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麻醉科AI自动调用路由与麻醉病例状态管理规则库</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