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肾内科专科查体尿液观察容量评估与肾功能评价模板库</w:t>
      </w:r>
    </w:p>
    <w:p>
      <w:r>
        <w:t>肾内科 AI 病历书写系统 V1.0</w:t>
      </w:r>
    </w:p>
    <w:p>
      <w:r>
        <w:t>第二级模块  医师审核用规则与模板</w:t>
      </w:r>
    </w:p>
    <w:p>
      <w:r>
        <w:t>编制及来源核验 2026年10月29日</w:t>
      </w:r>
    </w:p>
    <w:p>
      <w:r>
        <w:t>采集症状与实查，评估尿量、容量及肾功能。</w:t>
      </w:r>
    </w:p>
    <w:p>
      <w:r>
        <w:t>使用范围：真实病例资料的辅助拟稿、连续病程整理及医师质控。</w:t>
      </w:r>
    </w:p>
    <w:p>
      <w:r>
        <w:t>验证状态：规则与虚构病例验证见10；未经医院真实病例试用和授权医师签署，不作为临床认证声明。</w:t>
      </w:r>
    </w:p>
    <w:p>
      <w:r>
        <w:br w:type="page"/>
      </w:r>
    </w:p>
    <w:p>
      <w:pPr>
        <w:pStyle w:val="Heading1"/>
      </w:pPr>
      <w:r>
        <w:t>目录</w:t>
      </w:r>
    </w:p>
    <w:p>
      <w:hyperlink w:anchor="sec0">
        <w:r>
          <w:t>模块使用说明</w:t>
        </w:r>
      </w:hyperlink>
    </w:p>
    <w:p>
      <w:hyperlink w:anchor="sec6">
        <w:r>
          <w:t>症状及专科实查逐项采集</w:t>
        </w:r>
      </w:hyperlink>
    </w:p>
    <w:p>
      <w:hyperlink w:anchor="sec35">
        <w:r>
          <w:t>容量核算与临床判断</w:t>
        </w:r>
      </w:hyperlink>
    </w:p>
    <w:p>
      <w:hyperlink w:anchor="sec38">
        <w:r>
          <w:t>肾功能评价</w:t>
        </w:r>
      </w:hyperlink>
    </w:p>
    <w:p>
      <w:hyperlink w:anchor="sec47">
        <w:r>
          <w:t>虚构病例与完整示范</w:t>
        </w:r>
      </w:hyperlink>
    </w:p>
    <w:p>
      <w:hyperlink w:anchor="sec51">
        <w:r>
          <w:t>真实性边界与常见错误</w:t>
        </w:r>
      </w:hyperlink>
    </w:p>
    <w:p>
      <w:hyperlink w:anchor="sec55">
        <w:r>
          <w:t>最终核对及协同</w:t>
        </w:r>
      </w:hyperlink>
    </w:p>
    <w:p>
      <w:hyperlink w:anchor="sec69">
        <w:r>
          <w:t>参考依据与版本维护</w:t>
        </w:r>
      </w:hyperlink>
    </w:p>
    <w:p>
      <w:r>
        <w:br w:type="page"/>
      </w:r>
    </w:p>
    <w:p>
      <w:bookmarkStart w:id="0" w:name="sec0"/>
      <w:pPr>
        <w:pStyle w:val="Heading1"/>
      </w:pPr>
      <w:r>
        <w:t>模块使用说明</w:t>
      </w:r>
      <w:bookmarkEnd w:id="0"/>
    </w:p>
    <w:p>
      <w:r>
        <w:t>功能定位：采集症状与实查，评估尿量、容量及肾功能。</w:t>
      </w:r>
    </w:p>
    <w:p>
      <w:r>
        <w:t>适用场景与自动调用：入院日常查体、少尿水肿、透析前后及任何容量判断。</w:t>
      </w:r>
    </w:p>
    <w:p>
      <w:r>
        <w:t>必要资料：当次实查、计量区间、体重与出入量及透析记录。</w:t>
      </w:r>
    </w:p>
    <w:p>
      <w:r>
        <w:t>每项事实绑定患者及可靠第二标识、本次住院、事件、发生或采样时间、结果可知时间、来源、核验状态。床号不作唯一键。未知、未提供、未做、待回报、冲突、阴性和阳性分别表达。稳定病史可保留日期和来源继承；查体、尿量、肌酐、体重、处方及执行须逐日或逐事件更新。</w:t>
      </w:r>
    </w:p>
    <w:p>
      <w:r>
        <w:t>本库用于具备相应权限的医师审核前拟稿与质控。它是文档规则库，并非已部署电子病历接口、后台调度、患者数据库或自动处方工具。无读取能力时需实际提供相关模块；不同患者和住院资料不得进入通用规则库。模拟结果不替代真实患者前瞻性验证或医院准入。真实诊疗、知情同意、签名及留痕修改按医疗制度完成。</w:t>
      </w:r>
    </w:p>
    <w:p>
      <w:bookmarkStart w:id="6" w:name="sec6"/>
      <w:pPr>
        <w:pStyle w:val="Heading1"/>
      </w:pPr>
      <w:r>
        <w:t>症状及专科实查逐项采集</w:t>
      </w:r>
      <w:bookmarkEnd w:id="6"/>
    </w:p>
    <w:p>
      <w:bookmarkStart w:id="7" w:name="sec7"/>
      <w:pPr>
        <w:pStyle w:val="Heading2"/>
      </w:pPr>
      <w:r>
        <w:t>尿量减少和少尿无尿</w:t>
      </w:r>
      <w:bookmarkEnd w:id="7"/>
    </w:p>
    <w:p>
      <w:r>
        <w:t>明确开始、持续、体重、采集完整性及导管通畅；无尿记录不能来自漏收。缺项注明未提供，仅在必要时框外请临床核实。</w:t>
      </w:r>
    </w:p>
    <w:p>
      <w:bookmarkStart w:id="9" w:name="sec9"/>
      <w:pPr>
        <w:pStyle w:val="Heading2"/>
      </w:pPr>
      <w:r>
        <w:t>多尿夜尿</w:t>
      </w:r>
      <w:bookmarkEnd w:id="9"/>
    </w:p>
    <w:p>
      <w:r>
        <w:t>计量区间、饮水利尿剂及昼夜分布，症状与量化分开。缺项注明未提供，仅在必要时框外请临床核实。</w:t>
      </w:r>
    </w:p>
    <w:p>
      <w:bookmarkStart w:id="11" w:name="sec11"/>
      <w:pPr>
        <w:pStyle w:val="Heading2"/>
      </w:pPr>
      <w:r>
        <w:t>泡沫尿与尿色</w:t>
      </w:r>
      <w:bookmarkEnd w:id="11"/>
    </w:p>
    <w:p>
      <w:r>
        <w:t>患者主诉和实际观察分开，不能用泡沫推蛋白定量。缺项注明未提供，仅在必要时框外请临床核实。</w:t>
      </w:r>
    </w:p>
    <w:p>
      <w:bookmarkStart w:id="13" w:name="sec13"/>
      <w:pPr>
        <w:pStyle w:val="Heading2"/>
      </w:pPr>
      <w:r>
        <w:t>肉眼血尿和排尿异常</w:t>
      </w:r>
      <w:bookmarkEnd w:id="13"/>
    </w:p>
    <w:p>
      <w:r>
        <w:t>颜色血块疼痛、时程、尿路症状与月经等污染线索。缺项注明未提供，仅在必要时框外请临床核实。</w:t>
      </w:r>
    </w:p>
    <w:p>
      <w:bookmarkStart w:id="15" w:name="sec15"/>
      <w:pPr>
        <w:pStyle w:val="Heading2"/>
      </w:pPr>
      <w:r>
        <w:t>面部眼睑下肢全身水肿</w:t>
      </w:r>
      <w:bookmarkEnd w:id="15"/>
    </w:p>
    <w:p>
      <w:r>
        <w:t>逐部位和程度当次实查，水肿不等于血管内充分。缺项注明未提供，仅在必要时框外请临床核实。</w:t>
      </w:r>
    </w:p>
    <w:p>
      <w:bookmarkStart w:id="17" w:name="sec17"/>
      <w:pPr>
        <w:pStyle w:val="Heading2"/>
      </w:pPr>
      <w:r>
        <w:t>胸闷呼吸困难</w:t>
      </w:r>
      <w:bookmarkEnd w:id="17"/>
    </w:p>
    <w:p>
      <w:r>
        <w:t>起病体位、氧合、肺部及循环实测，急性加重即时评估。缺项注明未提供，仅在必要时框外请临床核实。</w:t>
      </w:r>
    </w:p>
    <w:p>
      <w:bookmarkStart w:id="19" w:name="sec19"/>
      <w:pPr>
        <w:pStyle w:val="Heading2"/>
      </w:pPr>
      <w:r>
        <w:t>恶心乏力瘙痒骨痛肌无力</w:t>
      </w:r>
      <w:bookmarkEnd w:id="19"/>
    </w:p>
    <w:p>
      <w:r>
        <w:t>关注电解质贫血药物和其他病因，不一概归尿毒症。缺项注明未提供，仅在必要时框外请临床核实。</w:t>
      </w:r>
    </w:p>
    <w:p>
      <w:bookmarkStart w:id="21" w:name="sec21"/>
      <w:pPr>
        <w:pStyle w:val="Heading2"/>
      </w:pPr>
      <w:r>
        <w:t>血压和体位性血压</w:t>
      </w:r>
      <w:bookmarkEnd w:id="21"/>
    </w:p>
    <w:p>
      <w:r>
        <w:t>测量时间体位袖带及实测，未做体位测量不写正常。缺项注明未提供，仅在必要时框外请临床核实。</w:t>
      </w:r>
    </w:p>
    <w:p>
      <w:bookmarkStart w:id="23" w:name="sec23"/>
      <w:pPr>
        <w:pStyle w:val="Heading2"/>
      </w:pPr>
      <w:r>
        <w:t>心率呼吸体重</w:t>
      </w:r>
      <w:bookmarkEnd w:id="23"/>
    </w:p>
    <w:p>
      <w:r>
        <w:t>当次实测及体重基准，干体重不作实测。缺项注明未提供，仅在必要时框外请临床核实。</w:t>
      </w:r>
    </w:p>
    <w:p>
      <w:bookmarkStart w:id="25" w:name="sec25"/>
      <w:pPr>
        <w:pStyle w:val="Heading2"/>
      </w:pPr>
      <w:r>
        <w:t>皮肤黏膜贫血貌</w:t>
      </w:r>
      <w:bookmarkEnd w:id="25"/>
    </w:p>
    <w:p>
      <w:r>
        <w:t>实查所见不能代替Hb或血容量定量。缺项注明未提供，仅在必要时框外请临床核实。</w:t>
      </w:r>
    </w:p>
    <w:p>
      <w:bookmarkStart w:id="27" w:name="sec27"/>
      <w:pPr>
        <w:pStyle w:val="Heading2"/>
      </w:pPr>
      <w:r>
        <w:t>颈静脉及心肺听诊</w:t>
      </w:r>
      <w:bookmarkEnd w:id="27"/>
    </w:p>
    <w:p>
      <w:r>
        <w:t>当天体位和查体，单项不能确定容量。缺项注明未提供，仅在必要时框外请临床核实。</w:t>
      </w:r>
    </w:p>
    <w:p>
      <w:bookmarkStart w:id="29" w:name="sec29"/>
      <w:pPr>
        <w:pStyle w:val="Heading2"/>
      </w:pPr>
      <w:r>
        <w:t>腹部肾区腹水</w:t>
      </w:r>
      <w:bookmarkEnd w:id="29"/>
    </w:p>
    <w:p>
      <w:r>
        <w:t>实际触叩及疼痛，未做检查不补阴性。缺项注明未提供，仅在必要时框外请临床核实。</w:t>
      </w:r>
    </w:p>
    <w:p>
      <w:bookmarkStart w:id="31" w:name="sec31"/>
      <w:pPr>
        <w:pStyle w:val="Heading2"/>
      </w:pPr>
      <w:r>
        <w:t>内瘘及导管</w:t>
      </w:r>
      <w:bookmarkEnd w:id="31"/>
    </w:p>
    <w:p>
      <w:r>
        <w:t>震颤杂音出血感染出口等当次观察，不凭日期认成熟。缺项注明未提供，仅在必要时框外请临床核实。</w:t>
      </w:r>
    </w:p>
    <w:p>
      <w:bookmarkStart w:id="33" w:name="sec33"/>
      <w:pPr>
        <w:pStyle w:val="Heading2"/>
      </w:pPr>
      <w:r>
        <w:t>腹透出口与隧道</w:t>
      </w:r>
      <w:bookmarkEnd w:id="33"/>
    </w:p>
    <w:p>
      <w:r>
        <w:t>出口分泌物、隧道压痛及实际检查，阴性超声不绝对排感染。缺项注明未提供，仅在必要时框外请临床核实。</w:t>
      </w:r>
    </w:p>
    <w:p>
      <w:bookmarkStart w:id="35" w:name="sec35"/>
      <w:pPr>
        <w:pStyle w:val="Heading1"/>
      </w:pPr>
      <w:r>
        <w:t>容量核算与临床判断</w:t>
      </w:r>
      <w:bookmarkEnd w:id="35"/>
    </w:p>
    <w:p>
      <w:r>
        <w:t>每个观察区间用同一开始和结束。净平衡=实际总入量－实际总出量；出量可含尿、引流及已计入的RRT实际净移除。透析或腹透净移除是否已在总出量中必须先核实，不重复加减。CRRT总废液量不能直接视作患者净移除；腹透灌排的处理与医院统计口径一致。数据缺失或区间不同不算确定净量。</w:t>
      </w:r>
    </w:p>
    <w:p>
      <w:r>
        <w:t>临床容量评估综合血压、体重、肺部、灌注、颈静脉、水肿、出入量及其他真实检查。出入量正平衡不自动证明肺水肿，负平衡不自动证明容量不足。透析前后体重变化亦受入量、进食和计量等影响，不反算虚构超滤。</w:t>
      </w:r>
    </w:p>
    <w:p>
      <w:bookmarkStart w:id="38" w:name="sec38"/>
      <w:pPr>
        <w:pStyle w:val="Heading1"/>
      </w:pPr>
      <w:r>
        <w:t>肾功能评价</w:t>
      </w:r>
      <w:bookmarkEnd w:id="38"/>
    </w:p>
    <w:p>
      <w:r>
        <w:t>KDIGO 2012：48小时肌酐升高≥26.5 μmol/L，或7天内升至基线≥1.5倍，或尿量&lt;0.5 mL/kg/h持续≥6小时，可支持AKI。分期取肌酐及尿量符合的最高级：1期肌酐1.5—1.9倍或升高≥26.5；尿量&lt;0.5持续6—12小时；2期肌酐2.0—2.9倍或尿量&lt;0.5持续≥12小时；3期肌酐≥3倍、升至≥353.6 μmol/L或因本次AKI启动RRT，或尿量&lt;0.3持续≥24小时、无尿≥12小时。未满18岁还包括eGFR降至&lt;35 mL/min/1.73m²。先证实急性过程再分期；长期维持透析不能因此被自动标为新发AKI 3期。肌酐和尿量标准各自可独立满足，缺其中一项不否定另一项；基线不能无依据反推。</w:t>
      </w:r>
    </w:p>
    <w:p>
      <w:r>
        <w:t>CKD须肾结构或功能异常持续至少3个月并影响健康，不能由单次异常推断。G分级按eGFR mL/min/1.73m²：G1≥90，G2为60—89，G3a为45—59，G3b为30—44，G4为15—29，G5&lt;15；G1/G2还需肾损害标志才能称CKD。A分级按ACR mg/g：A1&lt;30，A2为30—300，A3&gt;300；mg/mmol采用相应3及30界值并保留原单位，不把PCR或尿试纸直接当ACR。按病因C、G与A联合表达；未测ACR写A分层未明，不等同A1。</w:t>
      </w:r>
    </w:p>
    <w:p>
      <w:r>
        <w:t>eGFR报告记录估算公式及肌酐/胱抑素C方法。不能将估算值称实测GFR；非稳态、肌少症、妊娠及儿童须核公式适用性。肌酐单次下降受透析清除或稀释影响，不独立证明恢复。</w:t>
      </w:r>
    </w:p>
    <w:p>
      <w:bookmarkStart w:id="42" w:name="sec42"/>
      <w:pPr>
        <w:pStyle w:val="Heading2"/>
      </w:pPr>
      <w:r>
        <w:t>容量及肾功能综合记录</w:t>
      </w:r>
      <w:bookmarkEnd w:id="42"/>
    </w:p>
    <w:p>
      <w:r>
        <w:t>适用及必要资料：区间完整数据、实际净移除、实查和化验</w:t>
      </w:r>
    </w:p>
    <w:p>
      <w:r>
        <w:t>结构与专科分析：区分数学平衡与临床容量判断。</w:t>
      </w:r>
    </w:p>
    <w:p>
      <w:pPr>
        <w:keepNext/>
      </w:pPr>
      <w:r>
        <w:t>【真实记录日期及时间】 容量及肾功能综合记录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观察区间【起止】，实际入量【值】，尿量【值】，其他出量【值】，RRT实际净移除【值且是否计入总出量】，净平衡【可核算结果】。当次体重和容量实查【资料】，肾功能【日期及趋势】，综合判断【医师真实意见及限制】，后续【监测计划】。</w:t>
      </w:r>
    </w:p>
    <w:p>
      <w:r>
        <w:t>```</w:t>
      </w:r>
    </w:p>
    <w:p>
      <w:r>
        <w:t>事实限制与质控：缺区间或重复来源时不计算净量。</w:t>
      </w:r>
    </w:p>
    <w:p>
      <w:bookmarkStart w:id="47" w:name="sec47"/>
      <w:pPr>
        <w:pStyle w:val="Heading1"/>
      </w:pPr>
      <w:r>
        <w:t>虚构病例与完整示范</w:t>
      </w:r>
      <w:bookmarkEnd w:id="47"/>
    </w:p>
    <w:p>
      <w:r>
        <w:t>以下为虚构病例，不进入真实患者事实。输入：N29/E1；24h入2500，尿300，CRRT实际净移除1200，其他无，净移除未计入其他。</w:t>
      </w:r>
    </w:p>
    <w:p>
      <w:pPr>
        <w:keepNext/>
      </w:pPr>
      <w:r>
        <w:t>2026年10月29日 09:00 CRRT平衡</w:t>
      </w:r>
    </w:p>
    <w:p>
      <w:pPr>
        <w:keepNext/>
      </w:pPr>
      <w:r>
        <w:t>```text</w:t>
      </w:r>
    </w:p>
    <w:p>
      <w:pPr>
        <w:keepNext/>
        <w:keepLines/>
        <w:spacing w:after="0" w:line="252" w:lineRule="auto"/>
      </w:pPr>
      <w:r>
        <w:t>该24小时实际入量2500 mL，尿量300 mL，CRRT实际净液体移除1200 mL，无其他出量，净平衡为正1000 mL。机器计划设定不替代实际净移除，CRRT量不再重复扣减。</w:t>
      </w:r>
    </w:p>
    <w:p>
      <w:r>
        <w:t>```</w:t>
      </w:r>
    </w:p>
    <w:p>
      <w:r>
        <w:t>核查重点：形成示例正文；必保留事实：2500、300、1200、1000。详见10静态模拟案例29。</w:t>
      </w:r>
    </w:p>
    <w:p>
      <w:bookmarkStart w:id="51" w:name="sec51"/>
      <w:pPr>
        <w:pStyle w:val="Heading1"/>
      </w:pPr>
      <w:r>
        <w:t>真实性边界与常见错误</w:t>
      </w:r>
      <w:bookmarkEnd w:id="51"/>
    </w:p>
    <w:p>
      <w:r>
        <w:t>日期、时间、文书标题及真实医师姓名职称置于代码框外；每份正式正文放在独立 Markdown text 代码框内。框内仅放医学正文，不重复题头，不加“医学文书正文”、AI说明或未替换变量。日常病程及三级查房为连续完整一段，不分条、不空行、不加多余空格。入院、首次病程、操作、抢救、讨论和出院可按固定栏目组织；真实采样、治疗及抢救事件时间在正文保留。关键冲突在框外列核实项，不能生成未经核实的受影响净稿。</w:t>
      </w:r>
    </w:p>
    <w:p>
      <w:r>
        <w:t>知识、建议、医师计划、已开医嘱、已开始、已完成、暂停、停止、取消与恢复各有独立来源。不得从相邻状态推定实施，不从常见路径补写剂量、操作细节或疗效。</w:t>
      </w:r>
    </w:p>
    <w:p>
      <w:r>
        <w:t>常见错误：基线不明强分期；旧查体写今日；未来病理倒灌；目标超滤写实际；透析净量重复计入；只有医嘱却写给药；用职称代替真实查房决策。</w:t>
      </w:r>
    </w:p>
    <w:p>
      <w:bookmarkStart w:id="55" w:name="sec55"/>
      <w:pPr>
        <w:pStyle w:val="Heading1"/>
      </w:pPr>
      <w:r>
        <w:t>最终核对及协同</w:t>
      </w:r>
      <w:bookmarkEnd w:id="55"/>
    </w:p>
    <w:p>
      <w:r>
        <w:t>01 身份及本次住院一致。不适用者说明原因；不能以不适用掩盖应核实的重要事实。</w:t>
      </w:r>
    </w:p>
    <w:p>
      <w:r>
        <w:t>02 采样与可知时间正确。不适用者说明原因；不能以不适用掩盖应核实的重要事实。</w:t>
      </w:r>
    </w:p>
    <w:p>
      <w:r>
        <w:t>03 单位方法可比且基线有来源。不适用者说明原因；不能以不适用掩盖应核实的重要事实。</w:t>
      </w:r>
    </w:p>
    <w:p>
      <w:r>
        <w:t>04 诊断证据与确定度相符。不适用者说明原因；不能以不适用掩盖应核实的重要事实。</w:t>
      </w:r>
    </w:p>
    <w:p>
      <w:r>
        <w:t>05 尿量统计完整并明确区间。不适用者说明原因；不能以不适用掩盖应核实的重要事实。</w:t>
      </w:r>
    </w:p>
    <w:p>
      <w:r>
        <w:t>06 容量及超滤不重复。不适用者说明原因；不能以不适用掩盖应核实的重要事实。</w:t>
      </w:r>
    </w:p>
    <w:p>
      <w:r>
        <w:t>07 病理阶段和报告归属正确。不适用者说明原因；不能以不适用掩盖应核实的重要事实。</w:t>
      </w:r>
    </w:p>
    <w:p>
      <w:r>
        <w:t>08 药物医嘱与执行分开。不适用者说明原因；不能以不适用掩盖应核实的重要事实。</w:t>
      </w:r>
    </w:p>
    <w:p>
      <w:r>
        <w:t>09 每次透析和通路独立。不适用者说明原因；不能以不适用掩盖应核实的重要事实。</w:t>
      </w:r>
    </w:p>
    <w:p>
      <w:r>
        <w:t>10 真实医师意见可追溯。不适用者说明原因；不能以不适用掩盖应核实的重要事实。</w:t>
      </w:r>
    </w:p>
    <w:p>
      <w:r>
        <w:t>11 未替换占位符清零。不适用者说明原因；不能以不适用掩盖应核实的重要事实。</w:t>
      </w:r>
    </w:p>
    <w:p>
      <w:r>
        <w:t>12 题头与代码框及单段正确。不适用者说明原因；不能以不适用掩盖应核实的重要事实。</w:t>
      </w:r>
    </w:p>
    <w:p>
      <w:r>
        <w:t>00识别任务，01约束，11核病例状态；02组织文书，03实查容量，04检查与病理，05操作，06异常，07治疗，08真实层级意见，09长期管理，101—108提供疾病分支，10终审。仅加载实际相关模块。</w:t>
      </w:r>
    </w:p>
    <w:p>
      <w:bookmarkStart w:id="69" w:name="sec69"/>
      <w:pPr>
        <w:pStyle w:val="Heading1"/>
      </w:pPr>
      <w:r>
        <w:t>参考依据与版本维护</w:t>
      </w:r>
      <w:bookmarkEnd w:id="69"/>
    </w:p>
    <w:p>
      <w:r>
        <w:t>[R01] 病历书写基本规范。原卫生部，2010正式。适用：住院及门急诊文书。核验日期2026年10月29日；核验范围为发布状态及本模块引用规则，不代表所有推荐已逐条审查。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医疗质量安全核心制度要点。国家卫生健康委，2018正式。适用：医疗质量管理。核验日期2026年10月29日；核验范围为发布状态及本模块引用规则，不代表所有推荐已逐条审查。</w:t>
      </w:r>
    </w:p>
    <w:p>
      <w:r>
        <w:t>https://www.nhc.gov.cn/yzygj/c100068/201804/42ab2552298047679cd6ec733f233862.shtml</w:t>
      </w:r>
    </w:p>
    <w:p>
      <w:r>
        <w:t>[R05] CKD Evaluation and Management。KDIGO，2024正式。适用：成人及指南相应儿童CKD章节。核验日期2026年10月29日；核验范围为发布状态及本模块引用规则，不代表所有推荐已逐条审查。</w:t>
      </w:r>
    </w:p>
    <w:p>
      <w:r>
        <w:t>https://kdigo.org/wp-content/uploads/2024/03/KDIGO-2024-CKD-Guideline.pdf</w:t>
      </w:r>
    </w:p>
    <w:p>
      <w:r>
        <w:t>[R06] Acute Kidney Injury。KDIGO，2012正式。适用：AKI定义分期和肾脏替代治疗。核验日期2026年10月29日；核验范围为发布状态及本模块引用规则，不代表所有推荐已逐条审查。</w:t>
      </w:r>
    </w:p>
    <w:p>
      <w:r>
        <w:t>https://kdigo.org/wp-content/uploads/2016/10/KDIGO-2012-AKI-Guideline-English.pdf</w:t>
      </w:r>
    </w:p>
    <w:p>
      <w:r>
        <w:t>[R04] 血液净化标准操作规程。国家卫生健康委，2021正式。适用：血液净化操作及质控。核验日期2026年10月29日；核验范围为发布状态及本模块引用规则，不代表所有推荐已逐条审查。</w:t>
      </w:r>
    </w:p>
    <w:p>
      <w:r>
        <w:t>https://www.nhc.gov.cn/wjw/c100175/202111/0f854f7e65cf49bebd930a0f95c8efad.shtml</w:t>
      </w:r>
    </w:p>
    <w:p>
      <w:r>
        <w:t>KDIGO 2026 AKI/AKD及糖尿病更新、2027 CKD药物管理更新仍按官方网站显示的公开草案状态管理，不能作为已发布新标准。2012 AKI、2022糖尿病等正式版在相应范围继续使用。每季度及重要更新时核查；由科室、药师与病案质控审校，记录版本、变更依据、生效日期并重跑受影响样例。药物批准范围与具体操作须核本院及现行说明书。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03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Heiti SC" w:hAnsi="Heiti SC" w:eastAsia="Hei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