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肾内科检验尿液肾功能影像肾脏病理及特殊检查分析模板库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报告原文整理和临床分析双模式，重点管理肾功能、尿液、病理证据。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双模式工作协议</w:t>
        </w:r>
      </w:hyperlink>
    </w:p>
    <w:p>
      <w:hyperlink w:anchor="sec8">
        <w:r>
          <w:t>项目解释与限制</w:t>
        </w:r>
      </w:hyperlink>
    </w:p>
    <w:p>
      <w:hyperlink w:anchor="sec39">
        <w:r>
          <w:t>肾功能诊断计算核对</w:t>
        </w:r>
      </w:hyperlink>
    </w:p>
    <w:p>
      <w:hyperlink w:anchor="sec42">
        <w:r>
          <w:t>肾脏病理整合</w:t>
        </w:r>
      </w:hyperlink>
    </w:p>
    <w:p>
      <w:hyperlink w:anchor="sec55">
        <w:r>
          <w:t>虚构病例与完整示范</w:t>
        </w:r>
      </w:hyperlink>
    </w:p>
    <w:p>
      <w:hyperlink w:anchor="sec59">
        <w:r>
          <w:t>真实性边界与常见错误</w:t>
        </w:r>
      </w:hyperlink>
    </w:p>
    <w:p>
      <w:hyperlink w:anchor="sec63">
        <w:r>
          <w:t>最终核对及协同</w:t>
        </w:r>
      </w:hyperlink>
    </w:p>
    <w:p>
      <w:hyperlink w:anchor="sec77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功能定位：报告原文整理和临床分析双模式，重点管理肾功能、尿液、病理证据。</w:t>
      </w:r>
    </w:p>
    <w:p>
      <w:r>
        <w:t>适用场景与自动调用：任何检验影像病理归纳、跨日趋势或诊断修订。</w:t>
      </w:r>
    </w:p>
    <w:p>
      <w:r>
        <w:t>必要资料：原报告、标本采样及可知时间、单位范围方法、基线、实际治疗状态。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双模式工作协议</w:t>
      </w:r>
      <w:bookmarkEnd w:id="6"/>
    </w:p>
    <w:p>
      <w:r>
        <w:t>原文整理：保留报告原项目、单位、数值、所见、结论及不确定措辞；图像识别不清的字符在框外提示核对，不猜小数点。用户要求原文不得擅自润色。临床分析：另列证据、趋势、混杂、判断确定度、风险和医师真实后续计划，不能将AI推断混入报告原文。</w:t>
      </w:r>
    </w:p>
    <w:p>
      <w:bookmarkStart w:id="8" w:name="sec8"/>
      <w:pPr>
        <w:pStyle w:val="Heading1"/>
      </w:pPr>
      <w:r>
        <w:t>项目解释与限制</w:t>
      </w:r>
      <w:bookmarkEnd w:id="8"/>
    </w:p>
    <w:p>
      <w:bookmarkStart w:id="9" w:name="sec9"/>
      <w:pPr>
        <w:pStyle w:val="Heading2"/>
      </w:pPr>
      <w:r>
        <w:t>血肌酐/eGFR/尿素氮/胱抑素C</w:t>
      </w:r>
      <w:bookmarkEnd w:id="9"/>
    </w:p>
    <w:p>
      <w:r>
        <w:t>肌酐核基线和时序，eGFR记公式与适用性；尿素氮受分解饮食出血容量等影响，胱抑素C亦有非GFR因素。单项不替代总体肾功能。</w:t>
      </w:r>
    </w:p>
    <w:p>
      <w:bookmarkStart w:id="11" w:name="sec11"/>
      <w:pPr>
        <w:pStyle w:val="Heading2"/>
      </w:pPr>
      <w:r>
        <w:t>尿常规/沉渣/红细胞形态</w:t>
      </w:r>
      <w:bookmarkEnd w:id="11"/>
    </w:p>
    <w:p>
      <w:r>
        <w:t>潜血与镜检红细胞不同；沉渣和管型只按实际报告；红细胞形态提示来源但不单独确定IgA等病理。</w:t>
      </w:r>
    </w:p>
    <w:p>
      <w:bookmarkStart w:id="13" w:name="sec13"/>
      <w:pPr>
        <w:pStyle w:val="Heading2"/>
      </w:pPr>
      <w:r>
        <w:t>尿白蛋白/ACR/PCR/24小时蛋白</w:t>
      </w:r>
      <w:bookmarkEnd w:id="13"/>
    </w:p>
    <w:p>
      <w:r>
        <w:t>保留项目类型与单位，核24小时留取完整性；ACR、PCR和试纸不能直接等同；发热活动、感染和污染影响解释。</w:t>
      </w:r>
    </w:p>
    <w:p>
      <w:bookmarkStart w:id="15" w:name="sec15"/>
      <w:pPr>
        <w:pStyle w:val="Heading2"/>
      </w:pPr>
      <w:r>
        <w:t>尿电解质/渗透压/培养</w:t>
      </w:r>
      <w:bookmarkEnd w:id="15"/>
    </w:p>
    <w:p>
      <w:r>
        <w:t>采样时用药和容量影响钠等指标，分数排泄不能机械区分病因；培养记录采样途径和抗菌前后状态，不能把定植都归感染。</w:t>
      </w:r>
    </w:p>
    <w:p>
      <w:bookmarkStart w:id="17" w:name="sec17"/>
      <w:pPr>
        <w:pStyle w:val="Heading2"/>
      </w:pPr>
      <w:r>
        <w:t>血钾钠钙磷镁</w:t>
      </w:r>
      <w:bookmarkEnd w:id="17"/>
    </w:p>
    <w:p>
      <w:r>
        <w:t>核单位参考和标本溶血，钠结合血糖容量和病程，钙区分总与离子、白蛋白背景。单次异常不直接确定机制；危险线索立即临床评估。</w:t>
      </w:r>
    </w:p>
    <w:p>
      <w:bookmarkStart w:id="19" w:name="sec19"/>
      <w:pPr>
        <w:pStyle w:val="Heading2"/>
      </w:pPr>
      <w:r>
        <w:t>HCO3及血气乳酸</w:t>
      </w:r>
      <w:bookmarkEnd w:id="19"/>
    </w:p>
    <w:p>
      <w:r>
        <w:t>区分生化HCO3或CO2结合力与实际血气，血气注明动静脉；综合pH、二氧化碳分压和代偿，乳酸及阴离子间隙依实际变量。</w:t>
      </w:r>
    </w:p>
    <w:p>
      <w:bookmarkStart w:id="21" w:name="sec21"/>
      <w:pPr>
        <w:pStyle w:val="Heading2"/>
      </w:pPr>
      <w:r>
        <w:t>白蛋白体重出入量</w:t>
      </w:r>
      <w:bookmarkEnd w:id="21"/>
    </w:p>
    <w:p>
      <w:r>
        <w:t>低白蛋白非肾病综合征的单独依据；体重实测与干体重分开；液体核窗口和透析净移除是否已纳入出量。</w:t>
      </w:r>
    </w:p>
    <w:p>
      <w:bookmarkStart w:id="23" w:name="sec23"/>
      <w:pPr>
        <w:pStyle w:val="Heading2"/>
      </w:pPr>
      <w:r>
        <w:t>Hb网织红细胞铁蛋白TSAT</w:t>
      </w:r>
      <w:bookmarkEnd w:id="23"/>
    </w:p>
    <w:p>
      <w:r>
        <w:t>缺铁炎症失血等先评估，铁蛋白高不必然排功能性铁受限；输血或静脉铁后采样时间影响解释。</w:t>
      </w:r>
    </w:p>
    <w:p>
      <w:bookmarkStart w:id="25" w:name="sec25"/>
      <w:pPr>
        <w:pStyle w:val="Heading2"/>
      </w:pPr>
      <w:r>
        <w:t>PTH碱性磷酸酶维生素D</w:t>
      </w:r>
      <w:bookmarkEnd w:id="25"/>
    </w:p>
    <w:p>
      <w:r>
        <w:t>与钙磷及CKD阶段连续分析，检测法和单位可比；PTH单次异常不等病理骨类型，不自动推药。</w:t>
      </w:r>
    </w:p>
    <w:p>
      <w:bookmarkStart w:id="27" w:name="sec27"/>
      <w:pPr>
        <w:pStyle w:val="Heading2"/>
      </w:pPr>
      <w:r>
        <w:t>C3/C4免疫球蛋白ANA/dsDNA</w:t>
      </w:r>
      <w:bookmarkEnd w:id="27"/>
    </w:p>
    <w:p>
      <w:r>
        <w:t>阳性和低补体是病因线索，结合症状尿沉渣病理，不从血清学独定肾炎病理类别。</w:t>
      </w:r>
    </w:p>
    <w:p>
      <w:bookmarkStart w:id="29" w:name="sec29"/>
      <w:pPr>
        <w:pStyle w:val="Heading2"/>
      </w:pPr>
      <w:r>
        <w:t>ANCA/抗GBM/PLA2R</w:t>
      </w:r>
      <w:bookmarkEnd w:id="29"/>
    </w:p>
    <w:p>
      <w:r>
        <w:t>注明方法、抗原特异性或滴度和时间；快速肾功能下降或肺出血即时评估；PLA2R与相符表现整合，不能无限泛化活检要求。</w:t>
      </w:r>
    </w:p>
    <w:p>
      <w:bookmarkStart w:id="31" w:name="sec31"/>
      <w:pPr>
        <w:pStyle w:val="Heading2"/>
      </w:pPr>
      <w:r>
        <w:t>血尿免疫固定及游离轻链</w:t>
      </w:r>
      <w:bookmarkEnd w:id="31"/>
    </w:p>
    <w:p>
      <w:r>
        <w:t>核血或尿标本、方法和肾功能影响；检出单克隆成分不自动证明肾损害由其引起，必要时结合肾及血液证据。</w:t>
      </w:r>
    </w:p>
    <w:p>
      <w:bookmarkStart w:id="33" w:name="sec33"/>
      <w:pPr>
        <w:pStyle w:val="Heading2"/>
      </w:pPr>
      <w:r>
        <w:t>病毒和其他病因</w:t>
      </w:r>
      <w:bookmarkEnd w:id="33"/>
    </w:p>
    <w:p>
      <w:r>
        <w:t>血清标志物、核酸及感染活动分别记录，感染史或阳性抗体不独自证明当前病毒相关肾病。</w:t>
      </w:r>
    </w:p>
    <w:p>
      <w:bookmarkStart w:id="35" w:name="sec35"/>
      <w:pPr>
        <w:pStyle w:val="Heading2"/>
      </w:pPr>
      <w:r>
        <w:t>肾/泌尿系超声及CT/MRI</w:t>
      </w:r>
      <w:bookmarkEnd w:id="35"/>
    </w:p>
    <w:p>
      <w:r>
        <w:t>保留肾大小结构梗阻与侧别、检查时间和报告确定度；对比与非对比检查不同，不把影像提示转为病理确诊。</w:t>
      </w:r>
    </w:p>
    <w:p>
      <w:bookmarkStart w:id="37" w:name="sec37"/>
      <w:pPr>
        <w:pStyle w:val="Heading2"/>
      </w:pPr>
      <w:r>
        <w:t>肾血管及移植肾影像</w:t>
      </w:r>
      <w:bookmarkEnd w:id="37"/>
    </w:p>
    <w:p>
      <w:r>
        <w:t>记录真实血流和梗阻等所见，不能仅凭肌酐升高或一项参数确诊狭窄、血栓或排斥。</w:t>
      </w:r>
    </w:p>
    <w:p>
      <w:bookmarkStart w:id="39" w:name="sec39"/>
      <w:pPr>
        <w:pStyle w:val="Heading1"/>
      </w:pPr>
      <w:r>
        <w:t>肾功能诊断计算核对</w:t>
      </w:r>
      <w:bookmarkEnd w:id="39"/>
    </w:p>
    <w:p>
      <w:r>
        <w:t>KDIGO 2012：48小时肌酐升高≥26.5 μmol/L，或7天内升至基线≥1.5倍，或尿量&lt;0.5 mL/kg/h持续≥6小时，可支持AKI。分期取肌酐及尿量符合的最高级：1期肌酐1.5—1.9倍或升高≥26.5；尿量&lt;0.5持续6—12小时；2期肌酐2.0—2.9倍或尿量&lt;0.5持续≥12小时；3期肌酐≥3倍、升至≥353.6 μmol/L或因本次AKI启动RRT，或尿量&lt;0.3持续≥24小时、无尿≥12小时。未满18岁还包括eGFR降至&lt;35 mL/min/1.73m²。先证实急性过程再分期；长期维持透析不能因此被自动标为新发AKI 3期。肌酐和尿量标准各自可独立满足，缺其中一项不否定另一项；基线不能无依据反推。</w:t>
      </w:r>
    </w:p>
    <w:p>
      <w:r>
        <w:t>CKD须肾结构或功能异常持续至少3个月并影响健康，不能由单次异常推断。G分级按eGFR mL/min/1.73m²：G1≥90，G2为60—89，G3a为45—59，G3b为30—44，G4为15—29，G5&lt;15；G1/G2还需肾损害标志才能称CKD。A分级按ACR mg/g：A1&lt;30，A2为30—300，A3&gt;300；mg/mmol采用相应3及30界值并保留原单位，不把PCR或尿试纸直接当ACR。按病因C、G与A联合表达；未测ACR写A分层未明，不等同A1。</w:t>
      </w:r>
    </w:p>
    <w:p>
      <w:bookmarkStart w:id="42" w:name="sec42"/>
      <w:pPr>
        <w:pStyle w:val="Heading1"/>
      </w:pPr>
      <w:r>
        <w:t>肾脏病理整合</w:t>
      </w:r>
      <w:bookmarkEnd w:id="42"/>
    </w:p>
    <w:p>
      <w:r>
        <w:t>穿刺日期、标本编号、肾小球数量及代表性、光镜初报、IF、EM及最终整合分别记录。光镜描述细胞增生新月体硬化和间质小管病变；IF记录实际免疫成分和分布；EM记录真实沉积位置及超微结构。三者缺失不以常见病理补全。</w:t>
      </w:r>
    </w:p>
    <w:p>
      <w:r>
        <w:t>病理意义按“原文所见→可支持的病理判断→临床相符与不符→缺口”组织。Oxford、狼疮分类或活动慢性指数等仅据报告和明示体系，不自行凑分。最终病理可能修订前次判断，保留过去时点已知证据。</w:t>
      </w:r>
    </w:p>
    <w:p>
      <w:bookmarkStart w:id="45" w:name="sec45"/>
      <w:pPr>
        <w:pStyle w:val="Heading2"/>
      </w:pPr>
      <w:r>
        <w:t>原始报告整理</w:t>
      </w:r>
      <w:bookmarkEnd w:id="45"/>
    </w:p>
    <w:p>
      <w:r>
        <w:t>适用及必要资料：可辨认原报告与身份时间</w:t>
      </w:r>
    </w:p>
    <w:p>
      <w:r>
        <w:t>结构与专科分析：只整理，不混临床归因。</w:t>
      </w:r>
    </w:p>
    <w:p>
      <w:pPr>
        <w:keepNext/>
      </w:pPr>
      <w:r>
        <w:t>【真实记录日期及时间】 原始报告整理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【原日期时间、标本及报告阶段】</w:t>
      </w:r>
    </w:p>
    <w:p>
      <w:pPr>
        <w:keepNext/>
        <w:keepLines/>
        <w:spacing w:after="0" w:line="252" w:lineRule="auto"/>
      </w:pPr>
      <w:r>
        <w:t>【原项目、数值单位范围及检查所见】</w:t>
      </w:r>
    </w:p>
    <w:p>
      <w:pPr>
        <w:keepNext/>
        <w:keepLines/>
        <w:spacing w:after="0" w:line="252" w:lineRule="auto"/>
      </w:pPr>
      <w:r>
        <w:t>【原诊断意见及确定度】</w:t>
      </w:r>
    </w:p>
    <w:p>
      <w:r>
        <w:t>```</w:t>
      </w:r>
    </w:p>
    <w:p>
      <w:r>
        <w:t>事实限制与质控：看不清不猜测，不能把分析写为原文。</w:t>
      </w:r>
    </w:p>
    <w:p>
      <w:bookmarkStart w:id="50" w:name="sec50"/>
      <w:pPr>
        <w:pStyle w:val="Heading2"/>
      </w:pPr>
      <w:r>
        <w:t>检验及病理综合分析</w:t>
      </w:r>
      <w:bookmarkEnd w:id="50"/>
    </w:p>
    <w:p>
      <w:r>
        <w:t>适用及必要资料：结果和基线与可知时间</w:t>
      </w:r>
    </w:p>
    <w:p>
      <w:r>
        <w:t>结构与专科分析：趋势、混杂和临床意义分开。</w:t>
      </w:r>
    </w:p>
    <w:p>
      <w:pPr>
        <w:keepNext/>
      </w:pPr>
      <w:r>
        <w:t>【真实记录日期及时间】 检验及病理综合分析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日期】检查【真实结果】，与【明确日期的可比基线】比较【实际变化】。结合【症状实查和治疗时序】，支持【诊断层级】，仍需鉴别【本例问题】。病理目前【真实回报阶段】，后续【医师决定及待回项目】。</w:t>
      </w:r>
    </w:p>
    <w:p>
      <w:r>
        <w:t>```</w:t>
      </w:r>
    </w:p>
    <w:p>
      <w:r>
        <w:t>事实限制与质控：无资料不写“其余正常”；未来报告不倒灌。</w:t>
      </w:r>
    </w:p>
    <w:p>
      <w:bookmarkStart w:id="55" w:name="sec55"/>
      <w:pPr>
        <w:pStyle w:val="Heading1"/>
      </w:pPr>
      <w:r>
        <w:t>虚构病例与完整示范</w:t>
      </w:r>
      <w:bookmarkEnd w:id="55"/>
    </w:p>
    <w:p>
      <w:r>
        <w:t>以下为虚构病例，不进入真实患者事实。输入：N16/E1；27日LM待IF；29日IF IgA为主，最终病理明确IgAN。</w:t>
      </w:r>
    </w:p>
    <w:p>
      <w:pPr>
        <w:keepNext/>
      </w:pPr>
      <w:r>
        <w:t>2026年10月29日 09:00 病理整合修正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今日免疫荧光及最终整合病理已回报，明确IgA肾病，当前诊断据此修正。10月27日记录时免疫荧光尚未回报，保留当时待明确的判断，不将本次结果倒填到过去病程。</w:t>
      </w:r>
    </w:p>
    <w:p>
      <w:r>
        <w:t>```</w:t>
      </w:r>
    </w:p>
    <w:p>
      <w:r>
        <w:t>核查重点：形成示例正文；必保留事实：IgA、修正、27日。详见10静态模拟案例16。</w:t>
      </w:r>
    </w:p>
    <w:p>
      <w:bookmarkStart w:id="59" w:name="sec59"/>
      <w:pPr>
        <w:pStyle w:val="Heading1"/>
      </w:pPr>
      <w:r>
        <w:t>真实性边界与常见错误</w:t>
      </w:r>
      <w:bookmarkEnd w:id="59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63" w:name="sec63"/>
      <w:pPr>
        <w:pStyle w:val="Heading1"/>
      </w:pPr>
      <w:r>
        <w:t>最终核对及协同</w:t>
      </w:r>
      <w:bookmarkEnd w:id="63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77" w:name="sec77"/>
      <w:pPr>
        <w:pStyle w:val="Heading1"/>
      </w:pPr>
      <w:r>
        <w:t>参考依据与版本维护</w:t>
      </w:r>
      <w:bookmarkEnd w:id="77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[R07] Anemia in CKD。KDIGO，2026正式。适用：成人儿童CKD含透析和移植贫血。核验日期2026年10月29日；核验范围为发布状态及本模块引用规则，不代表所有推荐已逐条审查。</w:t>
      </w:r>
    </w:p>
    <w:p>
      <w:r>
        <w:t>https://kdigo.org/guidelines/anemia-in-ckd/</w:t>
      </w:r>
    </w:p>
    <w:p>
      <w:r>
        <w:t>[R09] Glomerular Diseases及章节更新。KDIGO，2021正式；LN及ANCA 2024；IgAN 2025覆盖旧章节。适用：肾小球疾病；按疾病章节分开使用。核验日期2026年10月29日；核验范围为发布状态及本模块引用规则，不代表所有推荐已逐条审查。</w:t>
      </w:r>
    </w:p>
    <w:p>
      <w:r>
        <w:t>https://kdigo.org/guidelines/gd/</w:t>
      </w:r>
    </w:p>
    <w:p>
      <w:r>
        <w:t>[R12] CKD Mineral and Bone Disorder。KDIGO，2017正式更新。适用：CKD相关骨矿物质异常。核验日期2026年10月29日；核验范围为发布状态及本模块引用规则，不代表所有推荐已逐条审查。</w:t>
      </w:r>
    </w:p>
    <w:p>
      <w:r>
        <w:t>https://kdigo.org/guidelines/ckd-mbd/</w:t>
      </w:r>
    </w:p>
    <w:p>
      <w:r>
        <w:t>[R13] ISPD peritonitis guideline recommendations。ISPD，2022正式。适用：腹透相关腹膜炎；儿童另核对专门指南。核验日期2026年10月29日；核验范围为发布状态及本模块引用规则，不代表所有推荐已逐条审查。</w:t>
      </w:r>
    </w:p>
    <w:p>
      <w:r>
        <w:t>https://doi.org/10.1177/08968608221080586</w:t>
      </w:r>
    </w:p>
    <w:p>
      <w:r>
        <w:t>[R19] Kidney biopsy guideline resources。KHA CARI，2019相关建议。适用：肾穿刺评估和术后观察；本院操作规范优先核对。核验日期2026年10月29日；核验范围为发布状态及本模块引用规则，不代表所有推荐已逐条审查。</w:t>
      </w:r>
    </w:p>
    <w:p>
      <w:r>
        <w:t>https://www.cariguidelines.org/guidelines/chronic-kidney-disease/kidney-biopsy/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04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