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肾穿刺活检血液净化及肾脏诊疗操作医学文书模板库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围肾穿刺、血液净化、腹透和通路操作的事件文书。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肾穿刺十三节点</w:t>
        </w:r>
      </w:hyperlink>
    </w:p>
    <w:p>
      <w:hyperlink w:anchor="sec19">
        <w:r>
          <w:t>每次血透数据合同</w:t>
        </w:r>
      </w:hyperlink>
    </w:p>
    <w:p>
      <w:hyperlink w:anchor="sec22">
        <w:r>
          <w:t>腹透和CRRT数据合同</w:t>
        </w:r>
      </w:hyperlink>
    </w:p>
    <w:p>
      <w:hyperlink w:anchor="sec25">
        <w:r>
          <w:t>通路五十五项范围的执行分支</w:t>
        </w:r>
      </w:hyperlink>
    </w:p>
    <w:p>
      <w:hyperlink w:anchor="sec62">
        <w:r>
          <w:t>虚构病例与完整示范</w:t>
        </w:r>
      </w:hyperlink>
    </w:p>
    <w:p>
      <w:hyperlink w:anchor="sec66">
        <w:r>
          <w:t>真实性边界与常见错误</w:t>
        </w:r>
      </w:hyperlink>
    </w:p>
    <w:p>
      <w:hyperlink w:anchor="sec70">
        <w:r>
          <w:t>最终核对及协同</w:t>
        </w:r>
      </w:hyperlink>
    </w:p>
    <w:p>
      <w:hyperlink w:anchor="sec84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功能定位：围肾穿刺、血液净化、腹透和通路操作的事件文书。</w:t>
      </w:r>
    </w:p>
    <w:p>
      <w:r>
        <w:t>适用场景与自动调用：拟操作、已操作、术后观察、处方调整、中断恢复及并发症。</w:t>
      </w:r>
    </w:p>
    <w:p>
      <w:r>
        <w:t>必要资料：真实评估、知情状态、处方、操作执行单、实测前后数据。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肾穿刺十三节点</w:t>
      </w:r>
      <w:bookmarkEnd w:id="6"/>
    </w:p>
    <w:p>
      <w:bookmarkStart w:id="7" w:name="sec7"/>
      <w:pPr>
        <w:pStyle w:val="Heading2"/>
      </w:pPr>
      <w:r>
        <w:t>适应性和禁忌评估</w:t>
      </w:r>
      <w:bookmarkEnd w:id="7"/>
    </w:p>
    <w:p>
      <w:r>
        <w:t>记录预期诊断收益、是否改变治疗、血压、出血与凝血及抗栓药、感染解剖和配合等实际情况；不靠模板自动批准。</w:t>
      </w:r>
    </w:p>
    <w:p>
      <w:bookmarkStart w:id="9" w:name="sec9"/>
      <w:pPr>
        <w:pStyle w:val="Heading2"/>
      </w:pPr>
      <w:r>
        <w:t>术前检查小结和沟通</w:t>
      </w:r>
      <w:bookmarkEnd w:id="9"/>
    </w:p>
    <w:p>
      <w:r>
        <w:t>核实际已完成结果、停复药计划和知情状态；未回报不能写正常，已沟通不能代替签署证据。</w:t>
      </w:r>
    </w:p>
    <w:p>
      <w:bookmarkStart w:id="11" w:name="sec11"/>
      <w:pPr>
        <w:pStyle w:val="Heading2"/>
      </w:pPr>
      <w:r>
        <w:t>操作辅助整理</w:t>
      </w:r>
      <w:bookmarkEnd w:id="11"/>
    </w:p>
    <w:p>
      <w:r>
        <w:t>实际时间人员、引导、部位、针具次数、组织及术中异常只来自原单；未提供则不写，不根据常规技术填充。</w:t>
      </w:r>
    </w:p>
    <w:p>
      <w:bookmarkStart w:id="13" w:name="sec13"/>
      <w:pPr>
        <w:pStyle w:val="Heading2"/>
      </w:pPr>
      <w:r>
        <w:t>术后首次和第一天观察</w:t>
      </w:r>
      <w:bookmarkEnd w:id="13"/>
    </w:p>
    <w:p>
      <w:r>
        <w:t>分别记录当次生命体征、疼痛、尿色、尿量、敷料和实际检查；不能默认每天同样正常。</w:t>
      </w:r>
    </w:p>
    <w:p>
      <w:bookmarkStart w:id="15" w:name="sec15"/>
      <w:pPr>
        <w:pStyle w:val="Heading2"/>
      </w:pPr>
      <w:r>
        <w:t>血尿疼痛出血超声</w:t>
      </w:r>
      <w:bookmarkEnd w:id="15"/>
    </w:p>
    <w:p>
      <w:r>
        <w:t>变化时间、生命体征Hb趋势与实际影像整合，出现危险先临床评估，不等文书。</w:t>
      </w:r>
    </w:p>
    <w:p>
      <w:bookmarkStart w:id="17" w:name="sec17"/>
      <w:pPr>
        <w:pStyle w:val="Heading2"/>
      </w:pPr>
      <w:r>
        <w:t>待病理与回报修正</w:t>
      </w:r>
      <w:bookmarkEnd w:id="17"/>
    </w:p>
    <w:p>
      <w:r>
        <w:t>标本已送、已取未送、部分回报各区分；LM/IF/EM最终报告及修订时间独立。</w:t>
      </w:r>
    </w:p>
    <w:p>
      <w:bookmarkStart w:id="19" w:name="sec19"/>
      <w:pPr>
        <w:pStyle w:val="Heading1"/>
      </w:pPr>
      <w:r>
        <w:t>每次血透数据合同</w:t>
      </w:r>
      <w:bookmarkEnd w:id="19"/>
    </w:p>
    <w:p>
      <w:r>
        <w:t>首次、维持、急诊血透及充分性分析均建事件号，记录治疗日期起止、通路、方式、处方与实际时长、前后体重、干体重目标、目标与实际超滤、处方及实际抗凝、血流量等已记录参数、异常事件及完成情况。无实测不反推。</w:t>
      </w:r>
    </w:p>
    <w:p>
      <w:r>
        <w:t>处方调整和抗凝管理必须有真实医师决定及执行；低血压、痉挛、过敏、出血等按发生时间另建子事件，充分性所需采样和变量不齐不造Kt/V。</w:t>
      </w:r>
    </w:p>
    <w:p>
      <w:bookmarkStart w:id="22" w:name="sec22"/>
      <w:pPr>
        <w:pStyle w:val="Heading1"/>
      </w:pPr>
      <w:r>
        <w:t>腹透和CRRT数据合同</w:t>
      </w:r>
      <w:bookmarkEnd w:id="22"/>
    </w:p>
    <w:p>
      <w:r>
        <w:t>腹透启动、置管、CAPD/APD、方案变更、充分性、浑浊腹膜炎、出口感染、功能异常、停止及转换分别记录。每次或明确定义区间核灌入、留腹、排出和净超滤，机器方案不证全程执行。</w:t>
      </w:r>
    </w:p>
    <w:p>
      <w:r>
        <w:t>CRRT启动后CVVH/CVVHD/CVVHDF等模式与实际运行区间分开，核抗凝、血流和液流实际记录、计划净超滤、真实净移除、总废液及患者总平衡口径。中断恢复不可抹平停机时间，方式切换重建处方。血浆置换和免疫吸附仅在本院实际开展且有执行资料时整理。</w:t>
      </w:r>
    </w:p>
    <w:p>
      <w:bookmarkStart w:id="25" w:name="sec25"/>
      <w:pPr>
        <w:pStyle w:val="Heading1"/>
      </w:pPr>
      <w:r>
        <w:t>通路五十五项范围的执行分支</w:t>
      </w:r>
      <w:bookmarkEnd w:id="25"/>
    </w:p>
    <w:p>
      <w:r>
        <w:t>自体内瘘和移植物：建立手术→成熟评估→实际使用→异常→处理；临时和隧道式带涤纶套导管：置入、位置确认、使用、调整、感染或血栓、拔除各独立。评估通畅不证明已置管，建议拔管不证明已经拔除。</w:t>
      </w:r>
    </w:p>
    <w:p>
      <w:bookmarkStart w:id="27" w:name="sec27"/>
      <w:pPr>
        <w:pStyle w:val="Heading2"/>
      </w:pPr>
      <w:r>
        <w:t>肾穿刺术前小结</w:t>
      </w:r>
      <w:bookmarkEnd w:id="27"/>
    </w:p>
    <w:p>
      <w:r>
        <w:t>适用及必要资料：适应性风险和准备</w:t>
      </w:r>
    </w:p>
    <w:p>
      <w:r>
        <w:t>结构与专科分析：综合风险收益，不自动批准。</w:t>
      </w:r>
    </w:p>
    <w:p>
      <w:pPr>
        <w:keepNext/>
      </w:pPr>
      <w:r>
        <w:t>【真实记录日期及时间】 肾穿刺术前小结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拟行【真实操作及原因】。评估【真实生命体征、凝血血常规用药和影像】，风险【实际判断】，已完成准备【记录】，知情沟通及同意【真实状态】，下一步【医师决定】。</w:t>
      </w:r>
    </w:p>
    <w:p>
      <w:r>
        <w:t>```</w:t>
      </w:r>
    </w:p>
    <w:p>
      <w:r>
        <w:t>事实限制与质控：未完成准备保持未完成。</w:t>
      </w:r>
    </w:p>
    <w:p>
      <w:bookmarkStart w:id="32" w:name="sec32"/>
      <w:pPr>
        <w:pStyle w:val="Heading2"/>
      </w:pPr>
      <w:r>
        <w:t>肾穿刺操作记录</w:t>
      </w:r>
      <w:bookmarkEnd w:id="32"/>
    </w:p>
    <w:p>
      <w:r>
        <w:t>适用及必要资料：原操作记录</w:t>
      </w:r>
    </w:p>
    <w:p>
      <w:r>
        <w:t>结构与专科分析：保留组织和送检链。</w:t>
      </w:r>
    </w:p>
    <w:p>
      <w:pPr>
        <w:keepNext/>
      </w:pPr>
      <w:r>
        <w:t>【真实记录日期及时间】 肾穿刺操作记录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操作时间及人员：【真实资料】</w:t>
      </w:r>
    </w:p>
    <w:p>
      <w:pPr>
        <w:keepNext/>
        <w:keepLines/>
        <w:spacing w:after="0" w:line="252" w:lineRule="auto"/>
      </w:pPr>
      <w:r>
        <w:t>适应性和准备：【已核内容】</w:t>
      </w:r>
    </w:p>
    <w:p>
      <w:pPr>
        <w:keepNext/>
        <w:keepLines/>
        <w:spacing w:after="0" w:line="252" w:lineRule="auto"/>
      </w:pPr>
      <w:r>
        <w:t>实际经过及取材：【只按原操作单】</w:t>
      </w:r>
    </w:p>
    <w:p>
      <w:pPr>
        <w:keepNext/>
        <w:keepLines/>
        <w:spacing w:after="0" w:line="252" w:lineRule="auto"/>
      </w:pPr>
      <w:r>
        <w:t>即时情况及异常处理：【实际事件】</w:t>
      </w:r>
    </w:p>
    <w:p>
      <w:pPr>
        <w:keepNext/>
        <w:keepLines/>
        <w:spacing w:after="0" w:line="252" w:lineRule="auto"/>
      </w:pPr>
      <w:r>
        <w:t>后续观察及送检：【实际安排】。</w:t>
      </w:r>
    </w:p>
    <w:p>
      <w:r>
        <w:t>```</w:t>
      </w:r>
    </w:p>
    <w:p>
      <w:r>
        <w:t>事实限制与质控：不依据常规编针具次数。</w:t>
      </w:r>
    </w:p>
    <w:p>
      <w:bookmarkStart w:id="37" w:name="sec37"/>
      <w:pPr>
        <w:pStyle w:val="Heading2"/>
      </w:pPr>
      <w:r>
        <w:t>肾穿刺后观察</w:t>
      </w:r>
      <w:bookmarkEnd w:id="37"/>
    </w:p>
    <w:p>
      <w:r>
        <w:t>适用及必要资料：当次实查</w:t>
      </w:r>
    </w:p>
    <w:p>
      <w:r>
        <w:t>结构与专科分析：第一天、血尿或疼痛观察均按实际时点。</w:t>
      </w:r>
    </w:p>
    <w:p>
      <w:pPr>
        <w:keepNext/>
      </w:pPr>
      <w:r>
        <w:t>【真实记录日期及时间】 肾穿刺后观察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于【真实时间】完成穿刺，当前【当次实测症状、血压、尿色尿量】，检查【已获得结果】，已处理【执行】，病理【真实阶段】，后续【实际观察】。</w:t>
      </w:r>
    </w:p>
    <w:p>
      <w:r>
        <w:t>```</w:t>
      </w:r>
    </w:p>
    <w:p>
      <w:r>
        <w:t>事实限制与质控：超声未做不写无血肿。</w:t>
      </w:r>
    </w:p>
    <w:p>
      <w:bookmarkStart w:id="42" w:name="sec42"/>
      <w:pPr>
        <w:pStyle w:val="Heading2"/>
      </w:pPr>
      <w:r>
        <w:t>血透治疗及透后记录</w:t>
      </w:r>
      <w:bookmarkEnd w:id="42"/>
    </w:p>
    <w:p>
      <w:r>
        <w:t>适用及必要资料：真实处方执行单</w:t>
      </w:r>
    </w:p>
    <w:p>
      <w:r>
        <w:t>结构与专科分析：逐次核对参数和耐受。</w:t>
      </w:r>
    </w:p>
    <w:p>
      <w:pPr>
        <w:keepNext/>
      </w:pPr>
      <w:r>
        <w:t>【真实记录日期及时间】 血透治疗及透后记录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事件号及方式】实际【开始结束】，处方时长【值】与实际【值】，通路【事实】，前后体重【实测】，干体重【目标】，目标超滤【值】而实际【值】，抗凝及其他执行参数【记录】，治疗中【事件处理反应】，结束后【状态和计划】。</w:t>
      </w:r>
    </w:p>
    <w:p>
      <w:r>
        <w:t>```</w:t>
      </w:r>
    </w:p>
    <w:p>
      <w:r>
        <w:t>事实限制与质控：不把目标当实际。</w:t>
      </w:r>
    </w:p>
    <w:p>
      <w:bookmarkStart w:id="47" w:name="sec47"/>
      <w:pPr>
        <w:pStyle w:val="Heading2"/>
      </w:pPr>
      <w:r>
        <w:t>腹透治疗记录</w:t>
      </w:r>
      <w:bookmarkEnd w:id="47"/>
    </w:p>
    <w:p>
      <w:r>
        <w:t>适用及必要资料：交换数据及检查</w:t>
      </w:r>
    </w:p>
    <w:p>
      <w:r>
        <w:t>结构与专科分析：处方和执行独立。</w:t>
      </w:r>
    </w:p>
    <w:p>
      <w:pPr>
        <w:keepNext/>
      </w:pPr>
      <w:r>
        <w:t>【真实记录日期及时间】 腹透治疗记录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本区间【起止及方式】，处方【真实版本】，实际灌入留腹排液【执行记录】，净超滤【可核算结果及是否并入出量】，出口腹部和液体【实查】，异常及处理【记录】，后续【安排】。</w:t>
      </w:r>
    </w:p>
    <w:p>
      <w:r>
        <w:t>```</w:t>
      </w:r>
    </w:p>
    <w:p>
      <w:r>
        <w:t>事实限制与质控：无数据不编超滤。</w:t>
      </w:r>
    </w:p>
    <w:p>
      <w:bookmarkStart w:id="52" w:name="sec52"/>
      <w:pPr>
        <w:pStyle w:val="Heading2"/>
      </w:pPr>
      <w:r>
        <w:t>CRRT治疗记录</w:t>
      </w:r>
      <w:bookmarkEnd w:id="52"/>
    </w:p>
    <w:p>
      <w:r>
        <w:t>适用及必要资料：机器执行与病情记录</w:t>
      </w:r>
    </w:p>
    <w:p>
      <w:r>
        <w:t>结构与专科分析：计划、总废液、净移除和患者总平衡分开。</w:t>
      </w:r>
    </w:p>
    <w:p>
      <w:pPr>
        <w:keepNext/>
      </w:pPr>
      <w:r>
        <w:t>【真实记录日期及时间】 CRRT治疗记录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本次【模式及事件】实际执行【区间】，处方设置【来源】，实际净液体移除【值及口径】，中断恢复【时刻原因】，抗凝及相关监测【记录】，当前【病情及计划】。</w:t>
      </w:r>
    </w:p>
    <w:p>
      <w:r>
        <w:t>```</w:t>
      </w:r>
    </w:p>
    <w:p>
      <w:r>
        <w:t>事实限制与质控：不能套用切换前参数。</w:t>
      </w:r>
    </w:p>
    <w:p>
      <w:bookmarkStart w:id="57" w:name="sec57"/>
      <w:pPr>
        <w:pStyle w:val="Heading2"/>
      </w:pPr>
      <w:r>
        <w:t>通路操作与状态记录</w:t>
      </w:r>
      <w:bookmarkEnd w:id="57"/>
    </w:p>
    <w:p>
      <w:r>
        <w:t>适用及必要资料：操作和实查</w:t>
      </w:r>
    </w:p>
    <w:p>
      <w:r>
        <w:t>结构与专科分析：区分置入调整拔除和可用。</w:t>
      </w:r>
    </w:p>
    <w:p>
      <w:pPr>
        <w:keepNext/>
      </w:pPr>
      <w:r>
        <w:t>【真实记录日期及时间】 通路操作与状态记录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本次【真实通路及操作事件】于【实际时间】发生，适应性与准备【记录】，实际过程【原单】，当前【实查功能及局部情况】，并发症及处理【真实证据】，后续【实际使用或复评计划】。</w:t>
      </w:r>
    </w:p>
    <w:p>
      <w:r>
        <w:t>```</w:t>
      </w:r>
    </w:p>
    <w:p>
      <w:r>
        <w:t>事实限制与质控：不自动判成熟或通畅。</w:t>
      </w:r>
    </w:p>
    <w:p>
      <w:bookmarkStart w:id="62" w:name="sec62"/>
      <w:pPr>
        <w:pStyle w:val="Heading1"/>
      </w:pPr>
      <w:r>
        <w:t>虚构病例与完整示范</w:t>
      </w:r>
      <w:bookmarkEnd w:id="62"/>
    </w:p>
    <w:p>
      <w:r>
        <w:t>以下为虚构病例，不进入真实患者事实。输入：N23/E1；8至12时HD，目标2L实际1.6L，未记录体重。</w:t>
      </w:r>
    </w:p>
    <w:p>
      <w:pPr>
        <w:keepNext/>
      </w:pPr>
      <w:r>
        <w:t>2026年10月29日 09:00 维持血透后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今日08:00至12:00完成血液透析，目标超滤2.0 L，实际超滤1.6 L。透析前后体重未提供，不能以干体重或超滤量推写实测体重。</w:t>
      </w:r>
    </w:p>
    <w:p>
      <w:r>
        <w:t>```</w:t>
      </w:r>
    </w:p>
    <w:p>
      <w:r>
        <w:t>核查重点：形成示例正文；必保留事实：08:00、12:00、2.0、1.6。详见10静态模拟案例23。</w:t>
      </w:r>
    </w:p>
    <w:p>
      <w:bookmarkStart w:id="66" w:name="sec66"/>
      <w:pPr>
        <w:pStyle w:val="Heading1"/>
      </w:pPr>
      <w:r>
        <w:t>真实性边界与常见错误</w:t>
      </w:r>
      <w:bookmarkEnd w:id="66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70" w:name="sec70"/>
      <w:pPr>
        <w:pStyle w:val="Heading1"/>
      </w:pPr>
      <w:r>
        <w:t>最终核对及协同</w:t>
      </w:r>
      <w:bookmarkEnd w:id="70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84" w:name="sec84"/>
      <w:pPr>
        <w:pStyle w:val="Heading1"/>
      </w:pPr>
      <w:r>
        <w:t>参考依据与版本维护</w:t>
      </w:r>
      <w:bookmarkEnd w:id="84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[R19] Kidney biopsy guideline resources。KHA CARI，2019相关建议。适用：肾穿刺评估和术后观察；本院操作规范优先核对。核验日期2026年10月29日；核验范围为发布状态及本模块引用规则，不代表所有推荐已逐条审查。</w:t>
      </w:r>
    </w:p>
    <w:p>
      <w:r>
        <w:t>https://www.cariguidelines.org/guidelines/chronic-kidney-disease/kidney-biopsy/</w:t>
      </w:r>
    </w:p>
    <w:p>
      <w:r>
        <w:t>[R20] Vascular Access Guideline。KDOQI NKF，2019更新 2020发表。适用：血透通路生命周期及并发症。核验日期2026年10月29日；核验范围为发布状态及本模块引用规则，不代表所有推荐已逐条审查。</w:t>
      </w:r>
    </w:p>
    <w:p>
      <w:r>
        <w:t>https://www.kidney.org/professionals/kdoqi/guidelines-and-commentaries/vascular-access</w:t>
      </w:r>
    </w:p>
    <w:p>
      <w:r>
        <w:t>[R13] ISPD peritonitis guideline recommendations。ISPD，2022正式。适用：腹透相关腹膜炎；儿童另核对专门指南。核验日期2026年10月29日；核验范围为发布状态及本模块引用规则，不代表所有推荐已逐条审查。</w:t>
      </w:r>
    </w:p>
    <w:p>
      <w:r>
        <w:t>https://doi.org/10.1177/08968608221080586</w:t>
      </w:r>
    </w:p>
    <w:p>
      <w:r>
        <w:t>[R14] Catheter related Infection Recommendations。ISPD，2023正式。适用：腹透导管相关感染。核验日期2026年10月29日；核验范围为发布状态及本模块引用规则，不代表所有推荐已逐条审查。</w:t>
      </w:r>
    </w:p>
    <w:p>
      <w:r>
        <w:t>https://ispd.org/wp-content/uploads/ISPD-Catheter-related-Infection-Recommendations-2023-Update.pdf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05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