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肾内科急危重症透析并发症及异常病情模板库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识别异常、优先现场评估，并按实际急救时间整理。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急变主流程</w:t>
        </w:r>
      </w:hyperlink>
    </w:p>
    <w:p>
      <w:hyperlink w:anchor="sec8">
        <w:r>
          <w:t>三十四种异常的分组差异</w:t>
        </w:r>
      </w:hyperlink>
    </w:p>
    <w:p>
      <w:hyperlink w:anchor="sec59">
        <w:r>
          <w:t>虚构病例与完整示范</w:t>
        </w:r>
      </w:hyperlink>
    </w:p>
    <w:p>
      <w:hyperlink w:anchor="sec63">
        <w:r>
          <w:t>真实性边界与常见错误</w:t>
        </w:r>
      </w:hyperlink>
    </w:p>
    <w:p>
      <w:hyperlink w:anchor="sec67">
        <w:r>
          <w:t>最终核对及协同</w:t>
        </w:r>
      </w:hyperlink>
    </w:p>
    <w:p>
      <w:hyperlink w:anchor="sec81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功能定位：识别异常、优先现场评估，并按实际急救时间整理。</w:t>
      </w:r>
    </w:p>
    <w:p>
      <w:r>
        <w:t>适用场景与自动调用：严重电解质酸碱异常、呼吸循环急变、透析及穿刺并发症。</w:t>
      </w:r>
    </w:p>
    <w:p>
      <w:r>
        <w:t>必要资料：变化时间、实际症状生命体征、检查、处理和复评。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急变主流程</w:t>
      </w:r>
      <w:bookmarkEnd w:id="6"/>
    </w:p>
    <w:p>
      <w:r>
        <w:t>高钾伴心电异常、急性肺水肿、休克、意识异常或心搏骤停等线索，先提示现场立即评估与急救流程，不因缺资料延误。文书按变化时间→症状→生命体征→尿量容量→检验心电→判断→实际处理→反应→后续。仅整理已实施，不自动生成药物剂量或透析参数。</w:t>
      </w:r>
    </w:p>
    <w:p>
      <w:bookmarkStart w:id="8" w:name="sec8"/>
      <w:pPr>
        <w:pStyle w:val="Heading1"/>
      </w:pPr>
      <w:r>
        <w:t>三十四种异常的分组差异</w:t>
      </w:r>
      <w:bookmarkEnd w:id="8"/>
    </w:p>
    <w:p>
      <w:bookmarkStart w:id="9" w:name="sec9"/>
      <w:pPr>
        <w:pStyle w:val="Heading2"/>
      </w:pPr>
      <w:r>
        <w:t>严重高钾</w:t>
      </w:r>
      <w:bookmarkEnd w:id="9"/>
    </w:p>
    <w:p>
      <w:r>
        <w:t>复核结果与溶血可能、心电及临床危险；有危险立即处理，不把一般升高均写危及生命。实际处理按真实急救单、医嘱执行和复评来源记录，风险和已发生诊断分开。</w:t>
      </w:r>
    </w:p>
    <w:p>
      <w:bookmarkStart w:id="11" w:name="sec11"/>
      <w:pPr>
        <w:pStyle w:val="Heading2"/>
      </w:pPr>
      <w:r>
        <w:t>严重低钾</w:t>
      </w:r>
      <w:bookmarkEnd w:id="11"/>
    </w:p>
    <w:p>
      <w:r>
        <w:t>心律肌力、药物与丢失原因，实际补充及复查，补钾量不能模板计算。实际处理按真实急救单、医嘱执行和复评来源记录，风险和已发生诊断分开。</w:t>
      </w:r>
    </w:p>
    <w:p>
      <w:bookmarkStart w:id="13" w:name="sec13"/>
      <w:pPr>
        <w:pStyle w:val="Heading2"/>
      </w:pPr>
      <w:r>
        <w:t>肺水肿和容量过重</w:t>
      </w:r>
      <w:bookmarkEnd w:id="13"/>
    </w:p>
    <w:p>
      <w:r>
        <w:t>呼吸氧合肺部血压及容量，多病因鉴别，RRT拟行与完成分开。实际处理按真实急救单、医嘱执行和复评来源记录，风险和已发生诊断分开。</w:t>
      </w:r>
    </w:p>
    <w:p>
      <w:bookmarkStart w:id="15" w:name="sec15"/>
      <w:pPr>
        <w:pStyle w:val="Heading2"/>
      </w:pPr>
      <w:r>
        <w:t>严重容量不足</w:t>
      </w:r>
      <w:bookmarkEnd w:id="15"/>
    </w:p>
    <w:p>
      <w:r>
        <w:t>灌注血压、失液出血与心功能，复苏计划及实际反应分开。实际处理按真实急救单、医嘱执行和复评来源记录，风险和已发生诊断分开。</w:t>
      </w:r>
    </w:p>
    <w:p>
      <w:bookmarkStart w:id="17" w:name="sec17"/>
      <w:pPr>
        <w:pStyle w:val="Heading2"/>
      </w:pPr>
      <w:r>
        <w:t>AKI加重少尿无尿</w:t>
      </w:r>
      <w:bookmarkEnd w:id="17"/>
    </w:p>
    <w:p>
      <w:r>
        <w:t>计量完整导管梗阻和时间，肌酐标准与尿量标准分别核。实际处理按真实急救单、医嘱执行和复评来源记录，风险和已发生诊断分开。</w:t>
      </w:r>
    </w:p>
    <w:p>
      <w:bookmarkStart w:id="19" w:name="sec19"/>
      <w:pPr>
        <w:pStyle w:val="Heading2"/>
      </w:pPr>
      <w:r>
        <w:t>严重代谢性酸中毒</w:t>
      </w:r>
      <w:bookmarkEnd w:id="19"/>
    </w:p>
    <w:p>
      <w:r>
        <w:t>真实血气和代偿、乳酸及病因，处置后变化不能编。实际处理按真实急救单、医嘱执行和复评来源记录，风险和已发生诊断分开。</w:t>
      </w:r>
    </w:p>
    <w:p>
      <w:bookmarkStart w:id="21" w:name="sec21"/>
      <w:pPr>
        <w:pStyle w:val="Heading2"/>
      </w:pPr>
      <w:r>
        <w:t>低钠高钠</w:t>
      </w:r>
      <w:bookmarkEnd w:id="21"/>
    </w:p>
    <w:p>
      <w:r>
        <w:t>神经症状、急慢性、血糖容量与实际纠正时序，避免无数据定速率。实际处理按真实急救单、医嘱执行和复评来源记录，风险和已发生诊断分开。</w:t>
      </w:r>
    </w:p>
    <w:p>
      <w:bookmarkStart w:id="23" w:name="sec23"/>
      <w:pPr>
        <w:pStyle w:val="Heading2"/>
      </w:pPr>
      <w:r>
        <w:t>尿毒症危急并发症</w:t>
      </w:r>
      <w:bookmarkEnd w:id="23"/>
    </w:p>
    <w:p>
      <w:r>
        <w:t>心包炎、脑病等需临床证据和鉴别，不能因肌酐高自动归因。实际处理按真实急救单、医嘱执行和复评来源记录，风险和已发生诊断分开。</w:t>
      </w:r>
    </w:p>
    <w:p>
      <w:bookmarkStart w:id="25" w:name="sec25"/>
      <w:pPr>
        <w:pStyle w:val="Heading2"/>
      </w:pPr>
      <w:r>
        <w:t>肾性高血压急症</w:t>
      </w:r>
      <w:bookmarkEnd w:id="25"/>
    </w:p>
    <w:p>
      <w:r>
        <w:t>实测血压与急性靶器官损伤证据，不能只凭高值诊急症。实际处理按真实急救单、医嘱执行和复评来源记录，风险和已发生诊断分开。</w:t>
      </w:r>
    </w:p>
    <w:p>
      <w:bookmarkStart w:id="27" w:name="sec27"/>
      <w:pPr>
        <w:pStyle w:val="Heading2"/>
      </w:pPr>
      <w:r>
        <w:t>透析低血压痉挛</w:t>
      </w:r>
      <w:bookmarkEnd w:id="27"/>
    </w:p>
    <w:p>
      <w:r>
        <w:t>相对治疗时刻、超滤和当时血压、真实暂停或处理和复评。实际处理按真实急救单、医嘱执行和复评来源记录，风险和已发生诊断分开。</w:t>
      </w:r>
    </w:p>
    <w:p>
      <w:bookmarkStart w:id="29" w:name="sec29"/>
      <w:pPr>
        <w:pStyle w:val="Heading2"/>
      </w:pPr>
      <w:r>
        <w:t>透析出血溶血</w:t>
      </w:r>
      <w:bookmarkEnd w:id="29"/>
    </w:p>
    <w:p>
      <w:r>
        <w:t>出血部位Hb、管路和检验线索，现场流程优先，不能补机器原因。实际处理按真实急救单、医嘱执行和复评来源记录，风险和已发生诊断分开。</w:t>
      </w:r>
    </w:p>
    <w:p>
      <w:bookmarkStart w:id="31" w:name="sec31"/>
      <w:pPr>
        <w:pStyle w:val="Heading2"/>
      </w:pPr>
      <w:r>
        <w:t>空气栓塞或严重过敏</w:t>
      </w:r>
      <w:bookmarkEnd w:id="31"/>
    </w:p>
    <w:p>
      <w:r>
        <w:t>立即现场应急，记录实际表现处理时间，疑似与确诊分开。实际处理按真实急救单、医嘱执行和复评来源记录，风险和已发生诊断分开。</w:t>
      </w:r>
    </w:p>
    <w:p>
      <w:bookmarkStart w:id="33" w:name="sec33"/>
      <w:pPr>
        <w:pStyle w:val="Heading2"/>
      </w:pPr>
      <w:r>
        <w:t>通路血栓导管感染</w:t>
      </w:r>
      <w:bookmarkEnd w:id="33"/>
    </w:p>
    <w:p>
      <w:r>
        <w:t>局部功能与全身证据、培养及影像，不能只发热定菌或拔管。实际处理按真实急救单、医嘱执行和复评来源记录，风险和已发生诊断分开。</w:t>
      </w:r>
    </w:p>
    <w:p>
      <w:bookmarkStart w:id="35" w:name="sec35"/>
      <w:pPr>
        <w:pStyle w:val="Heading2"/>
      </w:pPr>
      <w:r>
        <w:t>腹透腹膜炎和导管感染</w:t>
      </w:r>
      <w:bookmarkEnd w:id="35"/>
    </w:p>
    <w:p>
      <w:r>
        <w:t>疑似立即处理；计数分类留腹培养与出口隧道分别核。实际处理按真实急救单、医嘱执行和复评来源记录，风险和已发生诊断分开。</w:t>
      </w:r>
    </w:p>
    <w:p>
      <w:bookmarkStart w:id="37" w:name="sec37"/>
      <w:pPr>
        <w:pStyle w:val="Heading2"/>
      </w:pPr>
      <w:r>
        <w:t>腹透超滤不足</w:t>
      </w:r>
      <w:bookmarkEnd w:id="37"/>
    </w:p>
    <w:p>
      <w:r>
        <w:t>实际交换、残肾、容量与机械问题，单次排液不独定膜功能衰竭。实际处理按真实急救单、医嘱执行和复评来源记录，风险和已发生诊断分开。</w:t>
      </w:r>
    </w:p>
    <w:p>
      <w:bookmarkStart w:id="39" w:name="sec39"/>
      <w:pPr>
        <w:pStyle w:val="Heading2"/>
      </w:pPr>
      <w:r>
        <w:t>CRRT相关异常</w:t>
      </w:r>
      <w:bookmarkEnd w:id="39"/>
    </w:p>
    <w:p>
      <w:r>
        <w:t>滤器管路、抗凝电解质、停机与恢复，实际净移除分窗口。实际处理按真实急救单、医嘱执行和复评来源记录，风险和已发生诊断分开。</w:t>
      </w:r>
    </w:p>
    <w:p>
      <w:bookmarkStart w:id="41" w:name="sec41"/>
      <w:pPr>
        <w:pStyle w:val="Heading2"/>
      </w:pPr>
      <w:r>
        <w:t>穿刺后出血血肿血尿</w:t>
      </w:r>
      <w:bookmarkEnd w:id="41"/>
    </w:p>
    <w:p>
      <w:r>
        <w:t>事件时刻、生命体征Hb及影像，未超声不写排除血肿。实际处理按真实急救单、医嘱执行和复评来源记录，风险和已发生诊断分开。</w:t>
      </w:r>
    </w:p>
    <w:p>
      <w:bookmarkStart w:id="43" w:name="sec43"/>
      <w:pPr>
        <w:pStyle w:val="Heading2"/>
      </w:pPr>
      <w:r>
        <w:t>急进性肾炎</w:t>
      </w:r>
      <w:bookmarkEnd w:id="43"/>
    </w:p>
    <w:p>
      <w:r>
        <w:t>肾功能速率、血尿蛋白及肺肾受累，病理未回不推类型。实际处理按真实急救单、医嘱执行和复评来源记录，风险和已发生诊断分开。</w:t>
      </w:r>
    </w:p>
    <w:p>
      <w:bookmarkStart w:id="45" w:name="sec45"/>
      <w:pPr>
        <w:pStyle w:val="Heading2"/>
      </w:pPr>
      <w:r>
        <w:t>免疫抑制感染和脓毒症</w:t>
      </w:r>
      <w:bookmarkEnd w:id="45"/>
    </w:p>
    <w:p>
      <w:r>
        <w:t>宿主用药、感染证据器官功能与实际抗菌，不补培养结果。实际处理按真实急救单、医嘱执行和复评来源记录，风险和已发生诊断分开。</w:t>
      </w:r>
    </w:p>
    <w:p>
      <w:bookmarkStart w:id="47" w:name="sec47"/>
      <w:pPr>
        <w:pStyle w:val="Heading2"/>
      </w:pPr>
      <w:r>
        <w:t>严重心律失常休克心搏骤停</w:t>
      </w:r>
      <w:bookmarkEnd w:id="47"/>
    </w:p>
    <w:p>
      <w:r>
        <w:t>心电及循环复评、真实抢救执行和去向，未实施不补标准流程。实际处理按真实急救单、医嘱执行和复评来源记录，风险和已发生诊断分开。</w:t>
      </w:r>
    </w:p>
    <w:p>
      <w:bookmarkStart w:id="49" w:name="sec49"/>
      <w:pPr>
        <w:pStyle w:val="Heading2"/>
      </w:pPr>
      <w:r>
        <w:t>异常病情记录</w:t>
      </w:r>
      <w:bookmarkEnd w:id="49"/>
    </w:p>
    <w:p>
      <w:r>
        <w:t>适用及必要资料：事件前后和来源</w:t>
      </w:r>
    </w:p>
    <w:p>
      <w:r>
        <w:t>结构与专科分析：必须有处理和反应的真实状态，不用常规模板补齐。</w:t>
      </w:r>
    </w:p>
    <w:p>
      <w:pPr>
        <w:keepNext/>
      </w:pPr>
      <w:r>
        <w:t>【真实记录日期及时间】 异常病情记录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【真实时点】出现【实际症状】，当时【生命体征、尿量容量及关键检查】，考虑【判断及确定度】，已实施【真实时间和措施】，复评【反应或尚未取得】，后续【实际安排】。</w:t>
      </w:r>
    </w:p>
    <w:p>
      <w:r>
        <w:t>```</w:t>
      </w:r>
    </w:p>
    <w:p>
      <w:r>
        <w:t>事实限制与质控：未开始透析不写已完成。</w:t>
      </w:r>
    </w:p>
    <w:p>
      <w:bookmarkStart w:id="54" w:name="sec54"/>
      <w:pPr>
        <w:pStyle w:val="Heading2"/>
      </w:pPr>
      <w:r>
        <w:t>抢救经过整理</w:t>
      </w:r>
      <w:bookmarkEnd w:id="54"/>
    </w:p>
    <w:p>
      <w:r>
        <w:t>适用及必要资料：原抢救记录</w:t>
      </w:r>
    </w:p>
    <w:p>
      <w:r>
        <w:t>结构与专科分析：按R01与院内制度据实补记。</w:t>
      </w:r>
    </w:p>
    <w:p>
      <w:pPr>
        <w:keepNext/>
      </w:pPr>
      <w:r>
        <w:t>【真实记录日期及时间】 抢救经过整理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发现时间及病情：【真实资料】</w:t>
      </w:r>
    </w:p>
    <w:p>
      <w:pPr>
        <w:keepNext/>
        <w:keepLines/>
        <w:spacing w:after="0" w:line="252" w:lineRule="auto"/>
      </w:pPr>
      <w:r>
        <w:t>实际抢救：【逐时点措施、人员及反应】</w:t>
      </w:r>
    </w:p>
    <w:p>
      <w:pPr>
        <w:keepNext/>
        <w:keepLines/>
        <w:spacing w:after="0" w:line="252" w:lineRule="auto"/>
      </w:pPr>
      <w:r>
        <w:t>目前结果及去向：【事实】</w:t>
      </w:r>
    </w:p>
    <w:p>
      <w:pPr>
        <w:keepNext/>
        <w:keepLines/>
        <w:spacing w:after="0" w:line="252" w:lineRule="auto"/>
      </w:pPr>
      <w:r>
        <w:t>后续与补记：【按真实情况说明】。</w:t>
      </w:r>
    </w:p>
    <w:p>
      <w:r>
        <w:t>```</w:t>
      </w:r>
    </w:p>
    <w:p>
      <w:r>
        <w:t>事实限制与质控：事件时间在正文；不冒签或补给药。</w:t>
      </w:r>
    </w:p>
    <w:p>
      <w:bookmarkStart w:id="59" w:name="sec59"/>
      <w:pPr>
        <w:pStyle w:val="Heading1"/>
      </w:pPr>
      <w:r>
        <w:t>虚构病例与完整示范</w:t>
      </w:r>
      <w:bookmarkEnd w:id="59"/>
    </w:p>
    <w:p>
      <w:r>
        <w:t>以下为虚构病例，不进入真实患者事实。输入：N35/E1；09时K7.1心电异常，09:05真实抢救已启动，具体药未提供。</w:t>
      </w:r>
    </w:p>
    <w:p>
      <w:pPr>
        <w:keepNext/>
      </w:pPr>
      <w:r>
        <w:t>2026年10月29日 09:00 严重高钾抢救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09:00检出血钾7.1 mmol/L伴心电图异常，09:05现场抢救已启动。具体药物和剂量尚无记录，不能补写，需据实际抢救单补全措施、时刻与复评结果，并注明真实补记情况。</w:t>
      </w:r>
    </w:p>
    <w:p>
      <w:r>
        <w:t>```</w:t>
      </w:r>
    </w:p>
    <w:p>
      <w:r>
        <w:t>核查重点：形成示例正文；必保留事实：09:00、7.1、09:05。详见10静态模拟案例35。</w:t>
      </w:r>
    </w:p>
    <w:p>
      <w:bookmarkStart w:id="63" w:name="sec63"/>
      <w:pPr>
        <w:pStyle w:val="Heading1"/>
      </w:pPr>
      <w:r>
        <w:t>真实性边界与常见错误</w:t>
      </w:r>
      <w:bookmarkEnd w:id="63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67" w:name="sec67"/>
      <w:pPr>
        <w:pStyle w:val="Heading1"/>
      </w:pPr>
      <w:r>
        <w:t>最终核对及协同</w:t>
      </w:r>
      <w:bookmarkEnd w:id="67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81" w:name="sec81"/>
      <w:pPr>
        <w:pStyle w:val="Heading1"/>
      </w:pPr>
      <w:r>
        <w:t>参考依据与版本维护</w:t>
      </w:r>
      <w:bookmarkEnd w:id="81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[R06] Acute Kidney Injury。KDIGO，2012正式。适用：AKI定义分期和肾脏替代治疗。核验日期2026年10月29日；核验范围为发布状态及本模块引用规则，不代表所有推荐已逐条审查。</w:t>
      </w:r>
    </w:p>
    <w:p>
      <w:r>
        <w:t>https://kdigo.org/wp-content/uploads/2016/10/KDIGO-2012-AKI-Guideline-English.pdf</w:t>
      </w:r>
    </w:p>
    <w:p>
      <w:r>
        <w:t>[R13] ISPD peritonitis guideline recommendations。ISPD，2022正式。适用：腹透相关腹膜炎；儿童另核对专门指南。核验日期2026年10月29日；核验范围为发布状态及本模块引用规则，不代表所有推荐已逐条审查。</w:t>
      </w:r>
    </w:p>
    <w:p>
      <w:r>
        <w:t>https://doi.org/10.1177/08968608221080586</w:t>
      </w:r>
    </w:p>
    <w:p>
      <w:r>
        <w:t>[R14] Catheter related Infection Recommendations。ISPD，2023正式。适用：腹透导管相关感染。核验日期2026年10月29日；核验范围为发布状态及本模块引用规则，不代表所有推荐已逐条审查。</w:t>
      </w:r>
    </w:p>
    <w:p>
      <w:r>
        <w:t>https://ispd.org/wp-content/uploads/ISPD-Catheter-related-Infection-Recommendations-2023-Update.pdf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06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