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肾内科治疗决策肾脏保护药物透析处方及医嘱表达规则库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将治疗证据、医师决策、处方和实际执行分开，核肾功能药物安全。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八种状态和表达</w:t>
        </w:r>
      </w:hyperlink>
    </w:p>
    <w:p>
      <w:hyperlink w:anchor="sec15">
        <w:r>
          <w:t>三十项治疗主题及核对重点</w:t>
        </w:r>
      </w:hyperlink>
    </w:p>
    <w:p>
      <w:hyperlink w:anchor="sec44">
        <w:r>
          <w:t>2026贫血规则和来源边界</w:t>
        </w:r>
      </w:hyperlink>
    </w:p>
    <w:p>
      <w:hyperlink w:anchor="sec51">
        <w:r>
          <w:t>虚构病例与完整示范</w:t>
        </w:r>
      </w:hyperlink>
    </w:p>
    <w:p>
      <w:hyperlink w:anchor="sec55">
        <w:r>
          <w:t>真实性边界与常见错误</w:t>
        </w:r>
      </w:hyperlink>
    </w:p>
    <w:p>
      <w:hyperlink w:anchor="sec59">
        <w:r>
          <w:t>最终核对及协同</w:t>
        </w:r>
      </w:hyperlink>
    </w:p>
    <w:p>
      <w:hyperlink w:anchor="sec73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功能定位：将治疗证据、医师决策、处方和实际执行分开，核肾功能药物安全。</w:t>
      </w:r>
    </w:p>
    <w:p>
      <w:r>
        <w:t>适用场景与自动调用：任何药物调整、肾保护、透析抗凝、营养及出院带药。</w:t>
      </w:r>
    </w:p>
    <w:p>
      <w:r>
        <w:t>必要资料：当前病情、药物过敏、体重年龄肾功能及处方执行停复记录。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八种状态和表达</w:t>
      </w:r>
      <w:bookmarkEnd w:id="6"/>
    </w:p>
    <w:p>
      <w:r>
        <w:t>一般知识：某类治疗可能适用，不属于本患者计划。</w:t>
      </w:r>
    </w:p>
    <w:p>
      <w:r>
        <w:t>建议：建议临床评估，不代表已决定。</w:t>
      </w:r>
    </w:p>
    <w:p>
      <w:r>
        <w:t>医师拟定：拟调整，保留真实方案和依据。</w:t>
      </w:r>
    </w:p>
    <w:p>
      <w:r>
        <w:t>已开医嘱：医嘱已开，不证给药。</w:t>
      </w:r>
    </w:p>
    <w:p>
      <w:r>
        <w:t>实际执行：据执行单写药名剂量途径频次和真实时刻。</w:t>
      </w:r>
    </w:p>
    <w:p>
      <w:r>
        <w:t>暂停：暂不执行，记录原因时点及复评条件。</w:t>
      </w:r>
    </w:p>
    <w:p>
      <w:r>
        <w:t>停止或取消：已停与尚未执行便取消不同，各留实际时间。</w:t>
      </w:r>
    </w:p>
    <w:p>
      <w:r>
        <w:t>恢复：需新医师决定和执行，不能从病情改善自动推恢复。</w:t>
      </w:r>
    </w:p>
    <w:p>
      <w:bookmarkStart w:id="15" w:name="sec15"/>
      <w:pPr>
        <w:pStyle w:val="Heading1"/>
      </w:pPr>
      <w:r>
        <w:t>三十项治疗主题及核对重点</w:t>
      </w:r>
      <w:bookmarkEnd w:id="15"/>
    </w:p>
    <w:p>
      <w:bookmarkStart w:id="16" w:name="sec16"/>
      <w:pPr>
        <w:pStyle w:val="Heading2"/>
      </w:pPr>
      <w:r>
        <w:t>CKD肾保护、血压、蛋白尿</w:t>
      </w:r>
      <w:bookmarkEnd w:id="16"/>
    </w:p>
    <w:p>
      <w:r>
        <w:t>先核病因CGA、血压钾容量、妊娠及禁忌；疗效用实际后续指标，非一次变化定长期结局。原始处方字段包括名称、剂量、途径、频次、计划时段、原因和来源，执行字段单独绑定实际时刻。</w:t>
      </w:r>
    </w:p>
    <w:p>
      <w:bookmarkStart w:id="18" w:name="sec18"/>
      <w:pPr>
        <w:pStyle w:val="Heading2"/>
      </w:pPr>
      <w:r>
        <w:t>RAAS相关</w:t>
      </w:r>
      <w:bookmarkEnd w:id="18"/>
    </w:p>
    <w:p>
      <w:r>
        <w:t>核适应、当前钾和肾功能、容量与并用药；变更后记录医师监测计划，不自行停药或恢复。原始处方字段包括名称、剂量、途径、频次、计划时段、原因和来源，执行字段单独绑定实际时刻。</w:t>
      </w:r>
    </w:p>
    <w:p>
      <w:bookmarkStart w:id="20" w:name="sec20"/>
      <w:pPr>
        <w:pStyle w:val="Heading2"/>
      </w:pPr>
      <w:r>
        <w:t>SGLT2及其他肾保护</w:t>
      </w:r>
      <w:bookmarkEnd w:id="20"/>
    </w:p>
    <w:p>
      <w:r>
        <w:t>按正式指南、病种和批准范围核适用；透析、移植、ADPKD、妊娠儿童等不能机械泛化。原始处方字段包括名称、剂量、途径、频次、计划时段、原因和来源，执行字段单独绑定实际时刻。</w:t>
      </w:r>
    </w:p>
    <w:p>
      <w:bookmarkStart w:id="22" w:name="sec22"/>
      <w:pPr>
        <w:pStyle w:val="Heading2"/>
      </w:pPr>
      <w:r>
        <w:t>利尿容量及水钠</w:t>
      </w:r>
      <w:bookmarkEnd w:id="22"/>
    </w:p>
    <w:p>
      <w:r>
        <w:t>核实容量不足与过重风险，医嘱和实际入出量独立，利尿尿量增加不自动证明GFR恢复。原始处方字段包括名称、剂量、途径、频次、计划时段、原因和来源，执行字段单独绑定实际时刻。</w:t>
      </w:r>
    </w:p>
    <w:p>
      <w:bookmarkStart w:id="24" w:name="sec24"/>
      <w:pPr>
        <w:pStyle w:val="Heading2"/>
      </w:pPr>
      <w:r>
        <w:t>钾与酸碱</w:t>
      </w:r>
      <w:bookmarkEnd w:id="24"/>
    </w:p>
    <w:p>
      <w:r>
        <w:t>危险线索现场处理，补钾、降钾和补碱的真实剂量执行来源不能缺；不自动配制方案。原始处方字段包括名称、剂量、途径、频次、计划时段、原因和来源，执行字段单独绑定实际时刻。</w:t>
      </w:r>
    </w:p>
    <w:p>
      <w:bookmarkStart w:id="26" w:name="sec26"/>
      <w:pPr>
        <w:pStyle w:val="Heading2"/>
      </w:pPr>
      <w:r>
        <w:t>贫血铁及红细胞生成</w:t>
      </w:r>
      <w:bookmarkEnd w:id="26"/>
    </w:p>
    <w:p>
      <w:r>
        <w:t>依据2026正式指南核可逆原因、铁状态症状和风险，ESA目标不能机械追求正常Hb；不自动选择剂量。原始处方字段包括名称、剂量、途径、频次、计划时段、原因和来源，执行字段单独绑定实际时刻。</w:t>
      </w:r>
    </w:p>
    <w:p>
      <w:bookmarkStart w:id="28" w:name="sec28"/>
      <w:pPr>
        <w:pStyle w:val="Heading2"/>
      </w:pPr>
      <w:r>
        <w:t>CKD-MBD磷结合剂维生素D</w:t>
      </w:r>
      <w:bookmarkEnd w:id="28"/>
    </w:p>
    <w:p>
      <w:r>
        <w:t>结合钙磷PTH趋势、营养和CKD阶段；避免只看一次数值，实际用药以医师及说明书为准。原始处方字段包括名称、剂量、途径、频次、计划时段、原因和来源，执行字段单独绑定实际时刻。</w:t>
      </w:r>
    </w:p>
    <w:p>
      <w:bookmarkStart w:id="30" w:name="sec30"/>
      <w:pPr>
        <w:pStyle w:val="Heading2"/>
      </w:pPr>
      <w:r>
        <w:t>激素免疫与靶向治疗</w:t>
      </w:r>
      <w:bookmarkEnd w:id="30"/>
    </w:p>
    <w:p>
      <w:r>
        <w:t>诊断与病理阶段、感染筛查、既往暴露和风险获益由医师决定；药物批准适用性逐项核。原始处方字段包括名称、剂量、途径、频次、计划时段、原因和来源，执行字段单独绑定实际时刻。</w:t>
      </w:r>
    </w:p>
    <w:p>
      <w:bookmarkStart w:id="32" w:name="sec32"/>
      <w:pPr>
        <w:pStyle w:val="Heading2"/>
      </w:pPr>
      <w:r>
        <w:t>血透腹透CRRT处方</w:t>
      </w:r>
      <w:bookmarkEnd w:id="32"/>
    </w:p>
    <w:p>
      <w:r>
        <w:t>真实方式通路流量透析液、目标超滤时长和抗凝来自处方，实际执行单另列；无参数不补。原始处方字段包括名称、剂量、途径、频次、计划时段、原因和来源，执行字段单独绑定实际时刻。</w:t>
      </w:r>
    </w:p>
    <w:p>
      <w:bookmarkStart w:id="34" w:name="sec34"/>
      <w:pPr>
        <w:pStyle w:val="Heading2"/>
      </w:pPr>
      <w:r>
        <w:t>抗凝与出血</w:t>
      </w:r>
      <w:bookmarkEnd w:id="34"/>
    </w:p>
    <w:p>
      <w:r>
        <w:t>病情、通路、出血及凝血等实际记录决定方案；肝素或区域柠檬酸等不得由AI自动替换。原始处方字段包括名称、剂量、途径、频次、计划时段、原因和来源，执行字段单独绑定实际时刻。</w:t>
      </w:r>
    </w:p>
    <w:p>
      <w:bookmarkStart w:id="36" w:name="sec36"/>
      <w:pPr>
        <w:pStyle w:val="Heading2"/>
      </w:pPr>
      <w:r>
        <w:t>肾功能剂量调整与抗菌</w:t>
      </w:r>
      <w:bookmarkEnd w:id="36"/>
    </w:p>
    <w:p>
      <w:r>
        <w:t>核药物要求的CrCl/eGFR、体表面积是否去标化、非稳态及实际RRT模式；两种估算不混同，必要时药师TDM。原始处方字段包括名称、剂量、途径、频次、计划时段、原因和来源，执行字段单独绑定实际时刻。</w:t>
      </w:r>
    </w:p>
    <w:p>
      <w:bookmarkStart w:id="38" w:name="sec38"/>
      <w:pPr>
        <w:pStyle w:val="Heading2"/>
      </w:pPr>
      <w:r>
        <w:t>肾毒性暴露</w:t>
      </w:r>
      <w:bookmarkEnd w:id="38"/>
    </w:p>
    <w:p>
      <w:r>
        <w:t>记录真实药物、草药、对比剂及时间；考虑关联不等因果，停药和再暴露由实际医师决定。原始处方字段包括名称、剂量、途径、频次、计划时段、原因和来源，执行字段单独绑定实际时刻。</w:t>
      </w:r>
    </w:p>
    <w:p>
      <w:bookmarkStart w:id="40" w:name="sec40"/>
      <w:pPr>
        <w:pStyle w:val="Heading2"/>
      </w:pPr>
      <w:r>
        <w:t>营养与输血</w:t>
      </w:r>
      <w:bookmarkEnd w:id="40"/>
    </w:p>
    <w:p>
      <w:r>
        <w:t>营养体重容量和透析方式个体化；输血按真实临床决定、同意及执行，移植候选致敏风险须临床权衡。原始处方字段包括名称、剂量、途径、频次、计划时段、原因和来源，执行字段单独绑定实际时刻。</w:t>
      </w:r>
    </w:p>
    <w:p>
      <w:bookmarkStart w:id="42" w:name="sec42"/>
      <w:pPr>
        <w:pStyle w:val="Heading2"/>
      </w:pPr>
      <w:r>
        <w:t>出院药物核对</w:t>
      </w:r>
      <w:bookmarkEnd w:id="42"/>
    </w:p>
    <w:p>
      <w:r>
        <w:t>入院前药、住院变更、现行医嘱、出院处方逐项对照；停用和暂缓须明确复评条件与责任团队。原始处方字段包括名称、剂量、途径、频次、计划时段、原因和来源，执行字段单独绑定实际时刻。</w:t>
      </w:r>
    </w:p>
    <w:p>
      <w:bookmarkStart w:id="44" w:name="sec44"/>
      <w:pPr>
        <w:pStyle w:val="Heading1"/>
      </w:pPr>
      <w:r>
        <w:t>2026贫血规则和来源边界</w:t>
      </w:r>
      <w:bookmarkEnd w:id="44"/>
    </w:p>
    <w:p>
      <w:r>
        <w:t>2026正式指南重视先纠正缺铁、失血炎症等可逆原因，并按透析与非透析个体化选择治疗。铁剂、ESA及HIF-PHI和输血的获益风险、监测及患者意愿应记录；具体阈值和剂量在真实使用时核原指南对应人群、说明书与本院制度。本库不内置可直接执行的给药计算器。</w:t>
      </w:r>
    </w:p>
    <w:p>
      <w:bookmarkStart w:id="46" w:name="sec46"/>
      <w:pPr>
        <w:pStyle w:val="Heading2"/>
      </w:pPr>
      <w:r>
        <w:t>治疗调整记录</w:t>
      </w:r>
      <w:bookmarkEnd w:id="46"/>
    </w:p>
    <w:p>
      <w:r>
        <w:t>适用及必要资料：调整前后记录和执行</w:t>
      </w:r>
    </w:p>
    <w:p>
      <w:r>
        <w:t>结构与专科分析：表明依据、决定、执行、反应四层。</w:t>
      </w:r>
    </w:p>
    <w:p>
      <w:pPr>
        <w:keepNext/>
      </w:pPr>
      <w:r>
        <w:t>【真实记录日期及时间】 治疗调整记录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因【真实问题及证据】，医师拟或决定【实际方案及理由】。医嘱【已开或未开状态】，截至【真实记录时点】实际执行【来源】，停复及不良反应【事实】，后续【真实复查与责任安排】。</w:t>
      </w:r>
    </w:p>
    <w:p>
      <w:r>
        <w:t>```</w:t>
      </w:r>
    </w:p>
    <w:p>
      <w:r>
        <w:t>事实限制与质控：未知剂量不补，不把“建议”改“已用”。</w:t>
      </w:r>
    </w:p>
    <w:p>
      <w:bookmarkStart w:id="51" w:name="sec51"/>
      <w:pPr>
        <w:pStyle w:val="Heading1"/>
      </w:pPr>
      <w:r>
        <w:t>虚构病例与完整示范</w:t>
      </w:r>
      <w:bookmarkEnd w:id="51"/>
    </w:p>
    <w:p>
      <w:r>
        <w:t>以下为虚构病例，不进入真实患者事实。输入：N09/E1；磷1.9mmol/L，PTH未回；仅提出调整结合剂。</w:t>
      </w:r>
    </w:p>
    <w:p>
      <w:pPr>
        <w:keepNext/>
      </w:pPr>
      <w:r>
        <w:t>2026年10月29日 09:00 CKD-MBD调整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血磷1.9 mmol/L，PTH尚未回报。拟结合钙磷及PTH动态、饮食和现行用药评估调整，当前仅有磷结合剂调整建议，尚不能写为已经执行。</w:t>
      </w:r>
    </w:p>
    <w:p>
      <w:r>
        <w:t>```</w:t>
      </w:r>
    </w:p>
    <w:p>
      <w:r>
        <w:t>核查重点：形成示例正文；必保留事实：1.9、未回报、建议。详见10静态模拟案例9。</w:t>
      </w:r>
    </w:p>
    <w:p>
      <w:bookmarkStart w:id="55" w:name="sec55"/>
      <w:pPr>
        <w:pStyle w:val="Heading1"/>
      </w:pPr>
      <w:r>
        <w:t>真实性边界与常见错误</w:t>
      </w:r>
      <w:bookmarkEnd w:id="55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59" w:name="sec59"/>
      <w:pPr>
        <w:pStyle w:val="Heading1"/>
      </w:pPr>
      <w:r>
        <w:t>最终核对及协同</w:t>
      </w:r>
      <w:bookmarkEnd w:id="59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73" w:name="sec73"/>
      <w:pPr>
        <w:pStyle w:val="Heading1"/>
      </w:pPr>
      <w:r>
        <w:t>参考依据与版本维护</w:t>
      </w:r>
      <w:bookmarkEnd w:id="73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[R07] Anemia in CKD。KDIGO，2026正式。适用：成人儿童CKD含透析和移植贫血。核验日期2026年10月29日；核验范围为发布状态及本模块引用规则，不代表所有推荐已逐条审查。</w:t>
      </w:r>
    </w:p>
    <w:p>
      <w:r>
        <w:t>https://kdigo.org/guidelines/anemia-in-ckd/</w:t>
      </w:r>
    </w:p>
    <w:p>
      <w:r>
        <w:t>[R09] Glomerular Diseases及章节更新。KDIGO，2021正式；LN及ANCA 2024；IgAN 2025覆盖旧章节。适用：肾小球疾病；按疾病章节分开使用。核验日期2026年10月29日；核验范围为发布状态及本模块引用规则，不代表所有推荐已逐条审查。</w:t>
      </w:r>
    </w:p>
    <w:p>
      <w:r>
        <w:t>https://kdigo.org/guidelines/gd/</w:t>
      </w:r>
    </w:p>
    <w:p>
      <w:r>
        <w:t>[R10] Diabetes Management in CKD。KDIGO，2022正式。适用：糖尿病合并CKD。核验日期2026年10月29日；核验范围为发布状态及本模块引用规则，不代表所有推荐已逐条审查。</w:t>
      </w:r>
    </w:p>
    <w:p>
      <w:r>
        <w:t>https://kdigo.org/guidelines/diabetes-ckd/</w:t>
      </w:r>
    </w:p>
    <w:p>
      <w:r>
        <w:t>[R11] ADPKD Evaluation Management and Treatment。KDIGO，2025正式。适用：常染色体显性多囊肾病。核验日期2026年10月29日；核验范围为发布状态及本模块引用规则，不代表所有推荐已逐条审查。</w:t>
      </w:r>
    </w:p>
    <w:p>
      <w:r>
        <w:t>https://kdigo.org/wp-content/uploads/2025/01/KDIGO-2025-ADPKD-Guideline.pdf</w:t>
      </w:r>
    </w:p>
    <w:p>
      <w:r>
        <w:t>[R12] CKD Mineral and Bone Disorder。KDIGO，2017正式更新。适用：CKD相关骨矿物质异常。核验日期2026年10月29日；核验范围为发布状态及本模块引用规则，不代表所有推荐已逐条审查。</w:t>
      </w:r>
    </w:p>
    <w:p>
      <w:r>
        <w:t>https://kdigo.org/guidelines/ckd-mbd/</w:t>
      </w:r>
    </w:p>
    <w:p>
      <w:r>
        <w:t>[R22] 中国肾性贫血诊治临床实践指南。中国医师协会肾脏内科医师分会指南工作组，2021正式发表；本次仅核题录与摘要。适用：肾性贫血；具体推荐须核全文。核验日期2026年10月29日；核验范围为发布状态及本模块引用规则，不代表所有推荐已逐条审查。</w:t>
      </w:r>
    </w:p>
    <w:p>
      <w:r>
        <w:t>https://cs.medjournals.cn/cn/toc/57744</w:t>
      </w:r>
    </w:p>
    <w:p>
      <w:r>
        <w:t>[R23] 维持性血液透析合并肾性贫血临床管理中国专家共识。中国研究型医院学会血液净化专业委员会等，2026正式发表；本次仅核期刊题录与摘要。适用：维持性血透贫血。核验日期2026年10月29日；核验范围为发布状态及本模块引用规则，不代表所有推荐已逐条审查。</w:t>
      </w:r>
    </w:p>
    <w:p>
      <w:r>
        <w:t>https://www.cjbp.org.cn/CN/Y2026/V25/I05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07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