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肾内科三级医师查房决策与层级表达模板库</w:t>
      </w:r>
    </w:p>
    <w:p>
      <w:r>
        <w:t>肾内科 AI 病历书写系统 V1.0</w:t>
      </w:r>
    </w:p>
    <w:p>
      <w:r>
        <w:t>第二级模块  医师审核用规则与模板</w:t>
      </w:r>
    </w:p>
    <w:p>
      <w:r>
        <w:t>编制及来源核验 2026年10月29日</w:t>
      </w:r>
    </w:p>
    <w:p>
      <w:r>
        <w:t>三级查房的真实决策层级和24场景调用。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三种完整基础模板</w:t>
        </w:r>
      </w:hyperlink>
    </w:p>
    <w:p>
      <w:hyperlink w:anchor="sec22">
        <w:r>
          <w:t>二十四场景的分层决策重点</w:t>
        </w:r>
      </w:hyperlink>
    </w:p>
    <w:p>
      <w:hyperlink w:anchor="sec71">
        <w:r>
          <w:t>虚构病例与完整示范</w:t>
        </w:r>
      </w:hyperlink>
    </w:p>
    <w:p>
      <w:hyperlink w:anchor="sec77">
        <w:r>
          <w:t>真实性边界与常见错误</w:t>
        </w:r>
      </w:hyperlink>
    </w:p>
    <w:p>
      <w:hyperlink w:anchor="sec81">
        <w:r>
          <w:t>最终核对及协同</w:t>
        </w:r>
      </w:hyperlink>
    </w:p>
    <w:p>
      <w:hyperlink w:anchor="sec95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功能定位：三级查房的真实决策层级和24场景调用。</w:t>
      </w:r>
    </w:p>
    <w:p>
      <w:r>
        <w:t>适用场景与自动调用：主治、副主任或主任医师确已查房且需整理记录。</w:t>
      </w:r>
    </w:p>
    <w:p>
      <w:r>
        <w:t>必要资料：实际当次查房、实查检验、医师真实分析和计划。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三种完整基础模板</w:t>
      </w:r>
      <w:bookmarkEnd w:id="6"/>
    </w:p>
    <w:p>
      <w:bookmarkStart w:id="7" w:name="sec7"/>
      <w:pPr>
        <w:pStyle w:val="Heading2"/>
      </w:pPr>
      <w:r>
        <w:t>主治医师查房记录</w:t>
      </w:r>
      <w:bookmarkEnd w:id="7"/>
    </w:p>
    <w:p>
      <w:r>
        <w:t>适用及必要资料：姓名职称、查房事实和真实意见</w:t>
      </w:r>
    </w:p>
    <w:p>
      <w:r>
        <w:t>结构与专科分析：核对当天肾功能、尿量、容量电解质与实际治疗执行，明确近期监测</w:t>
      </w:r>
    </w:p>
    <w:p>
      <w:pPr>
        <w:keepNext/>
      </w:pPr>
      <w:r>
        <w:t>【真实记录日期及时间】 主治医师查房记录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治医师查房，患者【真实症状变化】，查体【当次肾内科及相关实查】，检查【真实日期结果及变化】。主治医师分析【围绕本场景的真实意见】，目前【治疗及透析实际状态】，下一步【实际决策和监测】。</w:t>
      </w:r>
    </w:p>
    <w:p>
      <w:r>
        <w:t>```</w:t>
      </w:r>
    </w:p>
    <w:p>
      <w:r>
        <w:t>事实限制与质控：没有医师意见只出框外待确认拟稿，不能冒称实际意见；正文连续一段。</w:t>
      </w:r>
    </w:p>
    <w:p>
      <w:bookmarkStart w:id="12" w:name="sec12"/>
      <w:pPr>
        <w:pStyle w:val="Heading2"/>
      </w:pPr>
      <w:r>
        <w:t>副主任医师查房记录</w:t>
      </w:r>
      <w:bookmarkEnd w:id="12"/>
    </w:p>
    <w:p>
      <w:r>
        <w:t>适用及必要资料：姓名职称、查房事实和真实意见</w:t>
      </w:r>
    </w:p>
    <w:p>
      <w:r>
        <w:t>结构与专科分析：复核肾损伤病因、急慢性鉴别和尿液病理证据，权衡并优化方案</w:t>
      </w:r>
    </w:p>
    <w:p>
      <w:pPr>
        <w:keepNext/>
      </w:pPr>
      <w:r>
        <w:t>【真实记录日期及时间】 副主任医师查房记录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副主任医师查房，患者【真实症状变化】，查体【当次肾内科及相关实查】，检查【真实日期结果及变化】。副主任医师分析【围绕本场景的真实意见】，目前【治疗及透析实际状态】，下一步【实际决策和监测】。</w:t>
      </w:r>
    </w:p>
    <w:p>
      <w:r>
        <w:t>```</w:t>
      </w:r>
    </w:p>
    <w:p>
      <w:r>
        <w:t>事实限制与质控：没有医师意见只出框外待确认拟稿，不能冒称实际意见；正文连续一段。</w:t>
      </w:r>
    </w:p>
    <w:p>
      <w:bookmarkStart w:id="17" w:name="sec17"/>
      <w:pPr>
        <w:pStyle w:val="Heading2"/>
      </w:pPr>
      <w:r>
        <w:t>主任医师查房记录</w:t>
      </w:r>
      <w:bookmarkEnd w:id="17"/>
    </w:p>
    <w:p>
      <w:r>
        <w:t>适用及必要资料：姓名职称、查房事实和真实意见</w:t>
      </w:r>
    </w:p>
    <w:p>
      <w:r>
        <w:t>结构与专科分析：整合复杂病因和疑难病理，权衡重大免疫与RRT策略、可逆性和长期预后</w:t>
      </w:r>
    </w:p>
    <w:p>
      <w:pPr>
        <w:keepNext/>
      </w:pPr>
      <w:r>
        <w:t>【真实记录日期及时间】 主任医师查房记录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【真实姓名】主任医师查房，患者【真实症状变化】，查体【当次肾内科及相关实查】，检查【真实日期结果及变化】。主任医师分析【围绕本场景的真实意见】，目前【治疗及透析实际状态】，下一步【实际决策和监测】。</w:t>
      </w:r>
    </w:p>
    <w:p>
      <w:r>
        <w:t>```</w:t>
      </w:r>
    </w:p>
    <w:p>
      <w:r>
        <w:t>事实限制与质控：没有医师意见只出框外待确认拟稿，不能冒称实际意见；正文连续一段。</w:t>
      </w:r>
    </w:p>
    <w:p>
      <w:bookmarkStart w:id="22" w:name="sec22"/>
      <w:pPr>
        <w:pStyle w:val="Heading1"/>
      </w:pPr>
      <w:r>
        <w:t>二十四场景的分层决策重点</w:t>
      </w:r>
      <w:bookmarkEnd w:id="22"/>
    </w:p>
    <w:p>
      <w:bookmarkStart w:id="23" w:name="sec23"/>
      <w:pPr>
        <w:pStyle w:val="Heading2"/>
      </w:pPr>
      <w:r>
        <w:t>AKI首次</w:t>
      </w:r>
      <w:bookmarkEnd w:id="23"/>
    </w:p>
    <w:p>
      <w:r>
        <w:t>主治：基线和尿量是否完整；副主任：灌注实质梗阻病因；主任：可逆性及RRT与总体策略。仅选实际查房意见所涵盖内容，未讨论不补造；相同事实按层级组织真实决策，不能只换称谓。</w:t>
      </w:r>
    </w:p>
    <w:p>
      <w:bookmarkStart w:id="25" w:name="sec25"/>
      <w:pPr>
        <w:pStyle w:val="Heading2"/>
      </w:pPr>
      <w:r>
        <w:t>少尿无尿</w:t>
      </w:r>
      <w:bookmarkEnd w:id="25"/>
    </w:p>
    <w:p>
      <w:r>
        <w:t>主治：尿量区间与导管；副主任：梗阻及循环原因；主任：器官威胁及紧急策略。仅选实际查房意见所涵盖内容，未讨论不补造；相同事实按层级组织真实决策，不能只换称谓。</w:t>
      </w:r>
    </w:p>
    <w:p>
      <w:bookmarkStart w:id="27" w:name="sec27"/>
      <w:pPr>
        <w:pStyle w:val="Heading2"/>
      </w:pPr>
      <w:r>
        <w:t>AKI恢复</w:t>
      </w:r>
      <w:bookmarkEnd w:id="27"/>
    </w:p>
    <w:p>
      <w:r>
        <w:t>主治：尿量与非透析窗口复查；副主任：真实恢复与透析清除区分；主任：停RRT复发风险及长期结局。仅选实际查房意见所涵盖内容，未讨论不补造；相同事实按层级组织真实决策，不能只换称谓。</w:t>
      </w:r>
    </w:p>
    <w:p>
      <w:bookmarkStart w:id="29" w:name="sec29"/>
      <w:pPr>
        <w:pStyle w:val="Heading2"/>
      </w:pPr>
      <w:r>
        <w:t>CKD首次</w:t>
      </w:r>
      <w:bookmarkEnd w:id="29"/>
    </w:p>
    <w:p>
      <w:r>
        <w:t>主治：慢性G与A证据；副主任：病因和风险模型适用；主任：肾保护与长期替代准备。仅选实际查房意见所涵盖内容，未讨论不补造；相同事实按层级组织真实决策，不能只换称谓。</w:t>
      </w:r>
    </w:p>
    <w:p>
      <w:bookmarkStart w:id="31" w:name="sec31"/>
      <w:pPr>
        <w:pStyle w:val="Heading2"/>
      </w:pPr>
      <w:r>
        <w:t>CKD恶化</w:t>
      </w:r>
      <w:bookmarkEnd w:id="31"/>
    </w:p>
    <w:p>
      <w:r>
        <w:t>主治：当天变化及执行；副主任：叠加AKI因素；主任：可逆性重大治疗。仅选实际查房意见所涵盖内容，未讨论不补造；相同事实按层级组织真实决策，不能只换称谓。</w:t>
      </w:r>
    </w:p>
    <w:p>
      <w:bookmarkStart w:id="33" w:name="sec33"/>
      <w:pPr>
        <w:pStyle w:val="Heading2"/>
      </w:pPr>
      <w:r>
        <w:t>肾病综合征</w:t>
      </w:r>
      <w:bookmarkEnd w:id="33"/>
    </w:p>
    <w:p>
      <w:r>
        <w:t>主治：蛋白白蛋白及容量；副主任：原继发病因；主任：免疫与血栓出血策略。仅选实际查房意见所涵盖内容，未讨论不补造；相同事实按层级组织真实决策，不能只换称谓。</w:t>
      </w:r>
    </w:p>
    <w:p>
      <w:bookmarkStart w:id="35" w:name="sec35"/>
      <w:pPr>
        <w:pStyle w:val="Heading2"/>
      </w:pPr>
      <w:r>
        <w:t>IgA</w:t>
      </w:r>
      <w:bookmarkEnd w:id="35"/>
    </w:p>
    <w:p>
      <w:r>
        <w:t>主治：蛋白血压肾功能；副主任：病理与临床匹配；主任：长期风险及靶向适用。仅选实际查房意见所涵盖内容，未讨论不补造；相同事实按层级组织真实决策，不能只换称谓。</w:t>
      </w:r>
    </w:p>
    <w:p>
      <w:bookmarkStart w:id="37" w:name="sec37"/>
      <w:pPr>
        <w:pStyle w:val="Heading2"/>
      </w:pPr>
      <w:r>
        <w:t>狼疮</w:t>
      </w:r>
      <w:bookmarkEnd w:id="37"/>
    </w:p>
    <w:p>
      <w:r>
        <w:t>主治：尿肾功能及感染；副主任：系统和肾活动差异；主任：诱导维持与风险。仅选实际查房意见所涵盖内容，未讨论不补造；相同事实按层级组织真实决策，不能只换称谓。</w:t>
      </w:r>
    </w:p>
    <w:p>
      <w:bookmarkStart w:id="39" w:name="sec39"/>
      <w:pPr>
        <w:pStyle w:val="Heading2"/>
      </w:pPr>
      <w:r>
        <w:t>ANCA</w:t>
      </w:r>
      <w:bookmarkEnd w:id="39"/>
    </w:p>
    <w:p>
      <w:r>
        <w:t>主治：快速变化肺肾危险；副主任：感染等竞争病因；主任：重大免疫和血浆置换适用。仅选实际查房意见所涵盖内容，未讨论不补造；相同事实按层级组织真实决策，不能只换称谓。</w:t>
      </w:r>
    </w:p>
    <w:p>
      <w:bookmarkStart w:id="41" w:name="sec41"/>
      <w:pPr>
        <w:pStyle w:val="Heading2"/>
      </w:pPr>
      <w:r>
        <w:t>穿刺前</w:t>
      </w:r>
      <w:bookmarkEnd w:id="41"/>
    </w:p>
    <w:p>
      <w:r>
        <w:t>主治：准备和同意状态；副主任：风险收益及替代；主任：是否改变重大治疗。仅选实际查房意见所涵盖内容，未讨论不补造；相同事实按层级组织真实决策，不能只换称谓。</w:t>
      </w:r>
    </w:p>
    <w:p>
      <w:bookmarkStart w:id="43" w:name="sec43"/>
      <w:pPr>
        <w:pStyle w:val="Heading2"/>
      </w:pPr>
      <w:r>
        <w:t>穿刺后</w:t>
      </w:r>
      <w:bookmarkEnd w:id="43"/>
    </w:p>
    <w:p>
      <w:r>
        <w:t>主治：尿色血压疼痛；副主任：出血鉴别复评；主任：严重并发症和后续策略。仅选实际查房意见所涵盖内容，未讨论不补造；相同事实按层级组织真实决策，不能只换称谓。</w:t>
      </w:r>
    </w:p>
    <w:p>
      <w:bookmarkStart w:id="45" w:name="sec45"/>
      <w:pPr>
        <w:pStyle w:val="Heading2"/>
      </w:pPr>
      <w:r>
        <w:t>病理回报</w:t>
      </w:r>
      <w:bookmarkEnd w:id="45"/>
    </w:p>
    <w:p>
      <w:r>
        <w:t>主治：当前回报阶段；副主任：LM/IF/EM整合；主任：诊断修正和治疗预后。仅选实际查房意见所涵盖内容，未讨论不补造；相同事实按层级组织真实决策，不能只换称谓。</w:t>
      </w:r>
    </w:p>
    <w:p>
      <w:bookmarkStart w:id="47" w:name="sec47"/>
      <w:pPr>
        <w:pStyle w:val="Heading2"/>
      </w:pPr>
      <w:r>
        <w:t>首次透析前</w:t>
      </w:r>
      <w:bookmarkEnd w:id="47"/>
    </w:p>
    <w:p>
      <w:r>
        <w:t>主治：通路及处方状态；副主任：指征和时机；主任：方式选择与患者整体目标。仅选实际查房意见所涵盖内容，未讨论不补造；相同事实按层级组织真实决策，不能只换称谓。</w:t>
      </w:r>
    </w:p>
    <w:p>
      <w:bookmarkStart w:id="49" w:name="sec49"/>
      <w:pPr>
        <w:pStyle w:val="Heading2"/>
      </w:pPr>
      <w:r>
        <w:t>血透后</w:t>
      </w:r>
      <w:bookmarkEnd w:id="49"/>
    </w:p>
    <w:p>
      <w:r>
        <w:t>主治：实际时长超滤事件；副主任：耐受与充分性；主任：长期策略和通路。仅选实际查房意见所涵盖内容，未讨论不补造；相同事实按层级组织真实决策，不能只换称谓。</w:t>
      </w:r>
    </w:p>
    <w:p>
      <w:bookmarkStart w:id="51" w:name="sec51"/>
      <w:pPr>
        <w:pStyle w:val="Heading2"/>
      </w:pPr>
      <w:r>
        <w:t>透析低压</w:t>
      </w:r>
      <w:bookmarkEnd w:id="51"/>
    </w:p>
    <w:p>
      <w:r>
        <w:t>主治：事件及真实处理；副主任：超滤灌注心功能；主任：处方风险重大优化。仅选实际查房意见所涵盖内容，未讨论不补造；相同事实按层级组织真实决策，不能只换称谓。</w:t>
      </w:r>
    </w:p>
    <w:p>
      <w:bookmarkStart w:id="53" w:name="sec53"/>
      <w:pPr>
        <w:pStyle w:val="Heading2"/>
      </w:pPr>
      <w:r>
        <w:t>通路异常</w:t>
      </w:r>
      <w:bookmarkEnd w:id="53"/>
    </w:p>
    <w:p>
      <w:r>
        <w:t>主治：实查和可用状态；副主任：血栓狭窄感染证据；主任：急诊透析可及性及通路规划。仅选实际查房意见所涵盖内容，未讨论不补造；相同事实按层级组织真实决策，不能只换称谓。</w:t>
      </w:r>
    </w:p>
    <w:p>
      <w:bookmarkStart w:id="55" w:name="sec55"/>
      <w:pPr>
        <w:pStyle w:val="Heading2"/>
      </w:pPr>
      <w:r>
        <w:t>腹透</w:t>
      </w:r>
      <w:bookmarkEnd w:id="55"/>
    </w:p>
    <w:p>
      <w:r>
        <w:t>主治：实际交换残肾；副主任：充分性容量差异；主任：长期技术存活和转换。仅选实际查房意见所涵盖内容，未讨论不补造；相同事实按层级组织真实决策，不能只换称谓。</w:t>
      </w:r>
    </w:p>
    <w:p>
      <w:bookmarkStart w:id="57" w:name="sec57"/>
      <w:pPr>
        <w:pStyle w:val="Heading2"/>
      </w:pPr>
      <w:r>
        <w:t>腹透腹膜炎</w:t>
      </w:r>
      <w:bookmarkEnd w:id="57"/>
    </w:p>
    <w:p>
      <w:r>
        <w:t>主治：液体及症状反应；副主任：诊断病原和其他腹部原因；主任：难治或导管策略。仅选实际查房意见所涵盖内容，未讨论不补造；相同事实按层级组织真实决策，不能只换称谓。</w:t>
      </w:r>
    </w:p>
    <w:p>
      <w:bookmarkStart w:id="59" w:name="sec59"/>
      <w:pPr>
        <w:pStyle w:val="Heading2"/>
      </w:pPr>
      <w:r>
        <w:t>CRRT</w:t>
      </w:r>
      <w:bookmarkEnd w:id="59"/>
    </w:p>
    <w:p>
      <w:r>
        <w:t>主治：执行停机净移除；副主任：抗凝代谢和滤器；主任：撤治或转方式策略。仅选实际查房意见所涵盖内容，未讨论不补造；相同事实按层级组织真实决策，不能只换称谓。</w:t>
      </w:r>
    </w:p>
    <w:p>
      <w:bookmarkStart w:id="61" w:name="sec61"/>
      <w:pPr>
        <w:pStyle w:val="Heading2"/>
      </w:pPr>
      <w:r>
        <w:t>贫血MBD</w:t>
      </w:r>
      <w:bookmarkEnd w:id="61"/>
    </w:p>
    <w:p>
      <w:r>
        <w:t>主治：实测趋势和执行；副主任：其他贫血骨病原因；主任：风险获益及长期目标。仅选实际查房意见所涵盖内容，未讨论不补造；相同事实按层级组织真实决策，不能只换称谓。</w:t>
      </w:r>
    </w:p>
    <w:p>
      <w:bookmarkStart w:id="63" w:name="sec63"/>
      <w:pPr>
        <w:pStyle w:val="Heading2"/>
      </w:pPr>
      <w:r>
        <w:t>严重高钾</w:t>
      </w:r>
      <w:bookmarkEnd w:id="63"/>
    </w:p>
    <w:p>
      <w:r>
        <w:t>主治：心电及真实处置；副主任：可逆因素和反跳；主任：急诊RRT和整体策略。仅选实际查房意见所涵盖内容，未讨论不补造；相同事实按层级组织真实决策，不能只换称谓。</w:t>
      </w:r>
    </w:p>
    <w:p>
      <w:bookmarkStart w:id="65" w:name="sec65"/>
      <w:pPr>
        <w:pStyle w:val="Heading2"/>
      </w:pPr>
      <w:r>
        <w:t>免疫调整</w:t>
      </w:r>
      <w:bookmarkEnd w:id="65"/>
    </w:p>
    <w:p>
      <w:r>
        <w:t>主治：实际药物与感染；副主任：疗效活动与毒性；主任：重大免疫路径及替代。仅选实际查房意见所涵盖内容，未讨论不补造；相同事实按层级组织真实决策，不能只换称谓。</w:t>
      </w:r>
    </w:p>
    <w:p>
      <w:bookmarkStart w:id="67" w:name="sec67"/>
      <w:pPr>
        <w:pStyle w:val="Heading2"/>
      </w:pPr>
      <w:r>
        <w:t>移植肾异常</w:t>
      </w:r>
      <w:bookmarkEnd w:id="67"/>
    </w:p>
    <w:p>
      <w:r>
        <w:t>主治：采样浓度和执行；副主任：排斥感染梗阻药物鉴别；主任：移植团队重大决策。仅选实际查房意见所涵盖内容，未讨论不补造；相同事实按层级组织真实决策，不能只换称谓。</w:t>
      </w:r>
    </w:p>
    <w:p>
      <w:bookmarkStart w:id="69" w:name="sec69"/>
      <w:pPr>
        <w:pStyle w:val="Heading2"/>
      </w:pPr>
      <w:r>
        <w:t>出院前</w:t>
      </w:r>
      <w:bookmarkEnd w:id="69"/>
    </w:p>
    <w:p>
      <w:r>
        <w:t>主治：当日状态带药；副主任：遗留问题和衔接；主任：出院适宜性及长期预后。仅选实际查房意见所涵盖内容，未讨论不补造；相同事实按层级组织真实决策，不能只换称谓。</w:t>
      </w:r>
    </w:p>
    <w:p>
      <w:bookmarkStart w:id="71" w:name="sec71"/>
      <w:pPr>
        <w:pStyle w:val="Heading1"/>
      </w:pPr>
      <w:r>
        <w:t>虚构病例与完整示范</w:t>
      </w:r>
      <w:bookmarkEnd w:id="71"/>
    </w:p>
    <w:p>
      <w:r>
        <w:t>以下为虚构病例，不进入真实患者事实。输入：N39/E1；陈主治、李副主任、王主任均真实查房；三位医师当次意见分别为核执行、分析病因、重大策略与预后；均真实。</w:t>
      </w:r>
    </w:p>
    <w:p>
      <w:pPr>
        <w:keepNext/>
      </w:pPr>
      <w:r>
        <w:t>2026年10月29日 09:00 主治医师查房记录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今日随陈主治医师查房，陈医师核查当日治疗执行记录，指出现有资料需继续核对尿量统计，并明确近期复查肾功能及电解质的监测安排。</w:t>
      </w:r>
    </w:p>
    <w:p>
      <w:r>
        <w:t>```</w:t>
      </w:r>
    </w:p>
    <w:p>
      <w:pPr>
        <w:keepNext/>
      </w:pPr>
      <w:r>
        <w:t>2026年10月29日 09:00 副主任医师查房记录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今日随李副主任医师查房，李医师结合已有肾功能变化及病史，提出进一步分析肾损伤病因，核对灌注、药物和梗阻等竞争诊断后优化方案。</w:t>
      </w:r>
    </w:p>
    <w:p>
      <w:r>
        <w:t>```</w:t>
      </w:r>
    </w:p>
    <w:p>
      <w:pPr>
        <w:keepNext/>
      </w:pPr>
      <w:r>
        <w:t>2026年10月29日 09:00 主任医师查房记录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今日随王主任医师查房，王医师综合现有证据，提出权衡重大治疗策略、可逆因素和肾功能恢复可能性，并将长期预后及下一阶段治疗目标纳入评估。</w:t>
      </w:r>
    </w:p>
    <w:p>
      <w:r>
        <w:t>```</w:t>
      </w:r>
    </w:p>
    <w:p>
      <w:r>
        <w:t>核查重点：形成示例正文；必保留事实：执行、病因、预后。详见10静态模拟案例39。</w:t>
      </w:r>
    </w:p>
    <w:p>
      <w:bookmarkStart w:id="77" w:name="sec77"/>
      <w:pPr>
        <w:pStyle w:val="Heading1"/>
      </w:pPr>
      <w:r>
        <w:t>真实性边界与常见错误</w:t>
      </w:r>
      <w:bookmarkEnd w:id="77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81" w:name="sec81"/>
      <w:pPr>
        <w:pStyle w:val="Heading1"/>
      </w:pPr>
      <w:r>
        <w:t>最终核对及协同</w:t>
      </w:r>
      <w:bookmarkEnd w:id="81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95" w:name="sec95"/>
      <w:pPr>
        <w:pStyle w:val="Heading1"/>
      </w:pPr>
      <w:r>
        <w:t>参考依据与版本维护</w:t>
      </w:r>
      <w:bookmarkEnd w:id="95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[R05] CKD Evaluation and Management。KDIGO，2024正式。适用：成人及指南相应儿童CKD章节。核验日期2026年10月29日；核验范围为发布状态及本模块引用规则，不代表所有推荐已逐条审查。</w:t>
      </w:r>
    </w:p>
    <w:p>
      <w:r>
        <w:t>https://kdigo.org/wp-content/uploads/2024/03/KDIGO-2024-CKD-Guideline.pdf</w:t>
      </w:r>
    </w:p>
    <w:p>
      <w:r>
        <w:t>[R06] Acute Kidney Injury。KDIGO，2012正式。适用：AKI定义分期和肾脏替代治疗。核验日期2026年10月29日；核验范围为发布状态及本模块引用规则，不代表所有推荐已逐条审查。</w:t>
      </w:r>
    </w:p>
    <w:p>
      <w:r>
        <w:t>https://kdigo.org/wp-content/uploads/2016/10/KDIGO-2012-AKI-Guideline-English.pdf</w:t>
      </w:r>
    </w:p>
    <w:p>
      <w:r>
        <w:t>[R09] Glomerular Diseases及章节更新。KDIGO，2021正式；LN及ANCA 2024；IgAN 2025覆盖旧章节。适用：肾小球疾病；按疾病章节分开使用。核验日期2026年10月29日；核验范围为发布状态及本模块引用规则，不代表所有推荐已逐条审查。</w:t>
      </w:r>
    </w:p>
    <w:p>
      <w:r>
        <w:t>https://kdigo.org/guidelines/gd/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08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