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肾内科透析通路营养慢病管理出院及长期随访模板库</w:t>
      </w:r>
    </w:p>
    <w:p>
      <w:r>
        <w:t>肾内科 AI 病历书写系统 V1.0</w:t>
      </w:r>
    </w:p>
    <w:p>
      <w:r>
        <w:t>第二级模块  医师审核用规则与模板</w:t>
      </w:r>
    </w:p>
    <w:p>
      <w:r>
        <w:t>编制及来源核验 2026年10月29日</w:t>
      </w:r>
    </w:p>
    <w:p>
      <w:r>
        <w:t>出院带药、通路营养、透析及慢病随访的连续管理。</w:t>
      </w:r>
    </w:p>
    <w:p>
      <w:r>
        <w:t>使用范围：真实病例资料的辅助拟稿、连续病程整理及医师质控。</w:t>
      </w:r>
    </w:p>
    <w:p>
      <w:r>
        <w:t>验证状态：规则与虚构病例验证见10；未经医院真实病例试用和授权医师签署，不作为临床认证声明。</w:t>
      </w:r>
    </w:p>
    <w:p>
      <w:r>
        <w:br w:type="page"/>
      </w:r>
    </w:p>
    <w:p>
      <w:pPr>
        <w:pStyle w:val="Heading1"/>
      </w:pPr>
      <w:r>
        <w:t>目录</w:t>
      </w:r>
    </w:p>
    <w:p>
      <w:hyperlink w:anchor="sec0">
        <w:r>
          <w:t>模块使用说明</w:t>
        </w:r>
      </w:hyperlink>
    </w:p>
    <w:p>
      <w:hyperlink w:anchor="sec6">
        <w:r>
          <w:t>慢病和营养分支</w:t>
        </w:r>
      </w:hyperlink>
    </w:p>
    <w:p>
      <w:hyperlink w:anchor="sec9">
        <w:r>
          <w:t>通路与透析长期管理</w:t>
        </w:r>
      </w:hyperlink>
    </w:p>
    <w:p>
      <w:hyperlink w:anchor="sec11">
        <w:r>
          <w:t>出院核对和待回报</w:t>
        </w:r>
      </w:hyperlink>
    </w:p>
    <w:p>
      <w:hyperlink w:anchor="sec23">
        <w:r>
          <w:t>虚构病例与完整示范</w:t>
        </w:r>
      </w:hyperlink>
    </w:p>
    <w:p>
      <w:hyperlink w:anchor="sec29">
        <w:r>
          <w:t>三十项出院与长期管理的条件核对</w:t>
        </w:r>
      </w:hyperlink>
    </w:p>
    <w:p>
      <w:hyperlink w:anchor="sec90">
        <w:r>
          <w:t>真实性边界与常见错误</w:t>
        </w:r>
      </w:hyperlink>
    </w:p>
    <w:p>
      <w:hyperlink w:anchor="sec94">
        <w:r>
          <w:t>最终核对及协同</w:t>
        </w:r>
      </w:hyperlink>
    </w:p>
    <w:p>
      <w:hyperlink w:anchor="sec108">
        <w:r>
          <w:t>参考依据与版本维护</w:t>
        </w:r>
      </w:hyperlink>
    </w:p>
    <w:p>
      <w:r>
        <w:br w:type="page"/>
      </w:r>
    </w:p>
    <w:p>
      <w:bookmarkStart w:id="0" w:name="sec0"/>
      <w:pPr>
        <w:pStyle w:val="Heading1"/>
      </w:pPr>
      <w:r>
        <w:t>模块使用说明</w:t>
      </w:r>
      <w:bookmarkEnd w:id="0"/>
    </w:p>
    <w:p>
      <w:r>
        <w:t>功能定位：出院带药、通路营养、透析及慢病随访的连续管理。</w:t>
      </w:r>
    </w:p>
    <w:p>
      <w:r>
        <w:t>适用场景与自动调用：出院、复诊、透析交接、方式转换、培训和长期管理。</w:t>
      </w:r>
    </w:p>
    <w:p>
      <w:r>
        <w:t>必要资料：真实最终诊断、当次状态、实际带药和复查透析安排、真实教育情况。</w:t>
      </w:r>
    </w:p>
    <w:p>
      <w:r>
        <w:t>每项事实绑定患者及可靠第二标识、本次住院、事件、发生或采样时间、结果可知时间、来源、核验状态。床号不作唯一键。未知、未提供、未做、待回报、冲突、阴性和阳性分别表达。稳定病史可保留日期和来源继承；查体、尿量、肌酐、体重、处方及执行须逐日或逐事件更新。</w:t>
      </w:r>
    </w:p>
    <w:p>
      <w:r>
        <w:t>本库用于具备相应权限的医师审核前拟稿与质控。它是文档规则库，并非已部署电子病历接口、后台调度、患者数据库或自动处方工具。无读取能力时需实际提供相关模块；不同患者和住院资料不得进入通用规则库。模拟结果不替代真实患者前瞻性验证或医院准入。真实诊疗、知情同意、签名及留痕修改按医疗制度完成。</w:t>
      </w:r>
    </w:p>
    <w:p>
      <w:bookmarkStart w:id="6" w:name="sec6"/>
      <w:pPr>
        <w:pStyle w:val="Heading1"/>
      </w:pPr>
      <w:r>
        <w:t>慢病和营养分支</w:t>
      </w:r>
      <w:bookmarkEnd w:id="6"/>
    </w:p>
    <w:p>
      <w:r>
        <w:t>CKD随访eGFR、ACR、血压及病因；糖尿病记录代谢和相关药物耐受；贫血复查Hb与铁，MBD复查钙磷PTH按实际安排。蛋白水钠钾摄入按营养、血钾、容量、残肾和透析方式个体化，不对所有患者统一限钾限水限蛋白。</w:t>
      </w:r>
    </w:p>
    <w:p>
      <w:r>
        <w:t>肾病综合征与免疫治疗复查蛋白、白蛋白、肾功能和感染毒性，实际减量计划与患者已接受教育分开。肾毒性暴露防范写真实交代，不假称已沟通。</w:t>
      </w:r>
    </w:p>
    <w:p>
      <w:bookmarkStart w:id="9" w:name="sec9"/>
      <w:pPr>
        <w:pStyle w:val="Heading1"/>
      </w:pPr>
      <w:r>
        <w:t>通路与透析长期管理</w:t>
      </w:r>
      <w:bookmarkEnd w:id="9"/>
    </w:p>
    <w:p>
      <w:r>
        <w:t>血透明确下一次真实安排、通路类型和最新实查、导管护理及内瘘保护的实际教育；通路异常有联系团队。腹透核真实处方、训练和照护者能力、出口护理及污染和腹膜炎响应，充分性及PET仅按真实结果。方式转换、移植评估与会诊明确实际执行和待办责任。</w:t>
      </w:r>
    </w:p>
    <w:p>
      <w:bookmarkStart w:id="11" w:name="sec11"/>
      <w:pPr>
        <w:pStyle w:val="Heading1"/>
      </w:pPr>
      <w:r>
        <w:t>出院核对和待回报</w:t>
      </w:r>
      <w:bookmarkEnd w:id="11"/>
    </w:p>
    <w:p>
      <w:r>
        <w:t>入院药物、住院停变、当前执行和出院处方逐项对照；药物剂量频次疗程不从普通模板生成。出院诊断保持确定度，未回病理培养不能写阴性；指定真实随访日期、谁查结果及如何反馈。移植患者浓度及免疫药与移植团队衔接，儿童妊娠有相应团队。</w:t>
      </w:r>
    </w:p>
    <w:p>
      <w:bookmarkStart w:id="13" w:name="sec13"/>
      <w:pPr>
        <w:pStyle w:val="Heading2"/>
      </w:pPr>
      <w:r>
        <w:t>出院及随访计划</w:t>
      </w:r>
      <w:bookmarkEnd w:id="13"/>
    </w:p>
    <w:p>
      <w:r>
        <w:t>适用及必要资料：出院决定和核对后医嘱</w:t>
      </w:r>
    </w:p>
    <w:p>
      <w:r>
        <w:t>结构与专科分析：复查、带药、透析、教育四类实际状态分开。</w:t>
      </w:r>
    </w:p>
    <w:p>
      <w:pPr>
        <w:keepNext/>
      </w:pPr>
      <w:r>
        <w:t>【真实记录日期及时间】 出院及随访计划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最终诊断及当前状态：【真实诊断肾功能、容量及治疗方式】</w:t>
      </w:r>
    </w:p>
    <w:p>
      <w:pPr>
        <w:keepNext/>
        <w:keepLines/>
        <w:spacing w:after="0" w:line="252" w:lineRule="auto"/>
      </w:pPr>
      <w:r>
        <w:t>带药及停复：【真实处方和复评条件】</w:t>
      </w:r>
    </w:p>
    <w:p>
      <w:pPr>
        <w:keepNext/>
        <w:keepLines/>
        <w:spacing w:after="0" w:line="252" w:lineRule="auto"/>
      </w:pPr>
      <w:r>
        <w:t>透析通路或腹透：【适用的真实安排】</w:t>
      </w:r>
    </w:p>
    <w:p>
      <w:pPr>
        <w:keepNext/>
        <w:keepLines/>
        <w:spacing w:after="0" w:line="252" w:lineRule="auto"/>
      </w:pPr>
      <w:r>
        <w:t>复查及待回报：【日期、项目、责任团队】</w:t>
      </w:r>
    </w:p>
    <w:p>
      <w:pPr>
        <w:keepNext/>
        <w:keepLines/>
        <w:spacing w:after="0" w:line="252" w:lineRule="auto"/>
      </w:pPr>
      <w:r>
        <w:t>营养生活与自我观察：【实际个体化计划】</w:t>
      </w:r>
    </w:p>
    <w:p>
      <w:pPr>
        <w:keepNext/>
        <w:keepLines/>
        <w:spacing w:after="0" w:line="252" w:lineRule="auto"/>
      </w:pPr>
      <w:r>
        <w:t>紧急就医情形：【真实医师交代的具体症状】。</w:t>
      </w:r>
    </w:p>
    <w:p>
      <w:r>
        <w:t>```</w:t>
      </w:r>
    </w:p>
    <w:p>
      <w:r>
        <w:t>事实限制与质控：拟预约不写已预约，不能凭良好状态自动批准出院。</w:t>
      </w:r>
    </w:p>
    <w:p>
      <w:bookmarkStart w:id="18" w:name="sec18"/>
      <w:pPr>
        <w:pStyle w:val="Heading2"/>
      </w:pPr>
      <w:r>
        <w:t>长期复诊记录</w:t>
      </w:r>
      <w:bookmarkEnd w:id="18"/>
    </w:p>
    <w:p>
      <w:r>
        <w:t>适用及必要资料：前次与本次、真实执行</w:t>
      </w:r>
    </w:p>
    <w:p>
      <w:r>
        <w:t>结构与专科分析：连续趋势和依从不互相替代。</w:t>
      </w:r>
    </w:p>
    <w:p>
      <w:pPr>
        <w:keepNext/>
      </w:pPr>
      <w:r>
        <w:t>【真实记录日期及时间】 长期复诊记录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本次【实际日期】复诊，间期【真实症状和执行情况】，血压体重容量【实测】，尿液肾功能及其他【日期结果】，与【明确基线】比较【变化】。当前【问题及判断】，医师决定【真实调整】，下次【实际复评】。</w:t>
      </w:r>
    </w:p>
    <w:p>
      <w:r>
        <w:t>```</w:t>
      </w:r>
    </w:p>
    <w:p>
      <w:r>
        <w:t>事实限制与质控：没有复查不复制旧值为今日。</w:t>
      </w:r>
    </w:p>
    <w:p>
      <w:bookmarkStart w:id="23" w:name="sec23"/>
      <w:pPr>
        <w:pStyle w:val="Heading1"/>
      </w:pPr>
      <w:r>
        <w:t>虚构病例与完整示范</w:t>
      </w:r>
      <w:bookmarkEnd w:id="23"/>
    </w:p>
    <w:p>
      <w:r>
        <w:t>以下为虚构病例，不进入真实患者事实。输入：N40/E1；医师同意出院，29日肌酐150；复查一周后，带药无资料。</w:t>
      </w:r>
    </w:p>
    <w:p>
      <w:pPr>
        <w:keepNext/>
      </w:pPr>
      <w:r>
        <w:t>2026年10月29日 09:00 出院前查房记录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今日医师查房复核患者血肌酐150 μmol/L，已作出出院决定，安排1周后复查；带药资料尚未提供，出院处方需按实际医师医嘱核对。</w:t>
      </w:r>
    </w:p>
    <w:p>
      <w:r>
        <w:t>```</w:t>
      </w:r>
    </w:p>
    <w:p>
      <w:pPr>
        <w:keepNext/>
      </w:pPr>
      <w:r>
        <w:t>2026年10月29日 09:00 出院记录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出院情况：今日血肌酐150 μmol/L，医师已作出出院决定。入院至出院完整诊疗经过尚未提供，不能补造。</w:t>
      </w:r>
    </w:p>
    <w:p>
      <w:pPr>
        <w:keepNext/>
        <w:keepLines/>
        <w:spacing w:after="0" w:line="252" w:lineRule="auto"/>
      </w:pPr>
      <w:r>
        <w:t>出院计划：1周后复查，带药资料尚未提供。</w:t>
      </w:r>
    </w:p>
    <w:p>
      <w:r>
        <w:t>```</w:t>
      </w:r>
    </w:p>
    <w:p>
      <w:pPr>
        <w:keepNext/>
      </w:pPr>
      <w:r>
        <w:t>2026年10月29日 09:00 出院医嘱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按医师已确认安排，1周后复查。带药资料尚未提供，须以实际审核处方为准，不补写药物名称和剂量。</w:t>
      </w:r>
    </w:p>
    <w:p>
      <w:r>
        <w:t>```</w:t>
      </w:r>
    </w:p>
    <w:p>
      <w:r>
        <w:t>核查重点：形成示例正文；必保留事实：150、1周、未提供。详见10静态模拟案例40。</w:t>
      </w:r>
    </w:p>
    <w:p>
      <w:bookmarkStart w:id="29" w:name="sec29"/>
      <w:pPr>
        <w:pStyle w:val="Heading1"/>
      </w:pPr>
      <w:r>
        <w:t>三十项出院与长期管理的条件核对</w:t>
      </w:r>
      <w:bookmarkEnd w:id="29"/>
    </w:p>
    <w:p>
      <w:bookmarkStart w:id="30" w:name="sec30"/>
      <w:pPr>
        <w:pStyle w:val="Heading2"/>
      </w:pPr>
      <w:r>
        <w:t>01 CKD随访</w:t>
      </w:r>
      <w:bookmarkEnd w:id="30"/>
    </w:p>
    <w:p>
      <w:r>
        <w:t>仅已有慢性诊断者，核病因和未解决问题，明确实际复查责任。</w:t>
      </w:r>
    </w:p>
    <w:p>
      <w:bookmarkStart w:id="32" w:name="sec32"/>
      <w:pPr>
        <w:pStyle w:val="Heading2"/>
      </w:pPr>
      <w:r>
        <w:t>02 eGFR动态</w:t>
      </w:r>
      <w:bookmarkEnd w:id="32"/>
    </w:p>
    <w:p>
      <w:r>
        <w:t>记录公式、日期和稳定性，非稳态不直接解释长期斜率。</w:t>
      </w:r>
    </w:p>
    <w:p>
      <w:bookmarkStart w:id="34" w:name="sec34"/>
      <w:pPr>
        <w:pStyle w:val="Heading2"/>
      </w:pPr>
      <w:r>
        <w:t>03 蛋白及白蛋白尿</w:t>
      </w:r>
      <w:bookmarkEnd w:id="34"/>
    </w:p>
    <w:p>
      <w:r>
        <w:t>复查项目ACR/PCR/定量分别说明，不互换或无检验默认A1。</w:t>
      </w:r>
    </w:p>
    <w:p>
      <w:bookmarkStart w:id="36" w:name="sec36"/>
      <w:pPr>
        <w:pStyle w:val="Heading2"/>
      </w:pPr>
      <w:r>
        <w:t>04 血压</w:t>
      </w:r>
      <w:bookmarkEnd w:id="36"/>
    </w:p>
    <w:p>
      <w:r>
        <w:t>记录实际测量、家庭监测能力和真实目标安排。</w:t>
      </w:r>
    </w:p>
    <w:p>
      <w:bookmarkStart w:id="38" w:name="sec38"/>
      <w:pPr>
        <w:pStyle w:val="Heading2"/>
      </w:pPr>
      <w:r>
        <w:t>05 糖尿病肾病</w:t>
      </w:r>
      <w:bookmarkEnd w:id="38"/>
    </w:p>
    <w:p>
      <w:r>
        <w:t>低血糖风险、肾功能及实际药物与糖尿病团队衔接。</w:t>
      </w:r>
    </w:p>
    <w:p>
      <w:bookmarkStart w:id="40" w:name="sec40"/>
      <w:pPr>
        <w:pStyle w:val="Heading2"/>
      </w:pPr>
      <w:r>
        <w:t>06 饮食营养</w:t>
      </w:r>
      <w:bookmarkEnd w:id="40"/>
    </w:p>
    <w:p>
      <w:r>
        <w:t>营养风险与透析方式、蛋白摄入由实际团队决定。</w:t>
      </w:r>
    </w:p>
    <w:p>
      <w:bookmarkStart w:id="42" w:name="sec42"/>
      <w:pPr>
        <w:pStyle w:val="Heading2"/>
      </w:pPr>
      <w:r>
        <w:t>07 水钠</w:t>
      </w:r>
      <w:bookmarkEnd w:id="42"/>
    </w:p>
    <w:p>
      <w:r>
        <w:t>按容量、血压及残肾安排，不能全员统一限水。</w:t>
      </w:r>
    </w:p>
    <w:p>
      <w:bookmarkStart w:id="44" w:name="sec44"/>
      <w:pPr>
        <w:pStyle w:val="Heading2"/>
      </w:pPr>
      <w:r>
        <w:t>08 高钾教育</w:t>
      </w:r>
      <w:bookmarkEnd w:id="44"/>
    </w:p>
    <w:p>
      <w:r>
        <w:t>结合实际血钾和药物，非所有CKD机械低钾饮食。</w:t>
      </w:r>
    </w:p>
    <w:p>
      <w:bookmarkStart w:id="46" w:name="sec46"/>
      <w:pPr>
        <w:pStyle w:val="Heading2"/>
      </w:pPr>
      <w:r>
        <w:t>09 肾性贫血</w:t>
      </w:r>
      <w:bookmarkEnd w:id="46"/>
    </w:p>
    <w:p>
      <w:r>
        <w:t>Hb与铁状态、给药执行和复查安排明确。</w:t>
      </w:r>
    </w:p>
    <w:p>
      <w:bookmarkStart w:id="48" w:name="sec48"/>
      <w:pPr>
        <w:pStyle w:val="Heading2"/>
      </w:pPr>
      <w:r>
        <w:t>10 CKD-MBD</w:t>
      </w:r>
      <w:bookmarkEnd w:id="48"/>
    </w:p>
    <w:p>
      <w:r>
        <w:t>钙磷PTH趋势及实际结合剂等用药核对。</w:t>
      </w:r>
    </w:p>
    <w:p>
      <w:bookmarkStart w:id="50" w:name="sec50"/>
      <w:pPr>
        <w:pStyle w:val="Heading2"/>
      </w:pPr>
      <w:r>
        <w:t>11 肾病综合征</w:t>
      </w:r>
      <w:bookmarkEnd w:id="50"/>
    </w:p>
    <w:p>
      <w:r>
        <w:t>真实缓解复发指标、蛋白白蛋白和感染血栓观察。</w:t>
      </w:r>
    </w:p>
    <w:p>
      <w:bookmarkStart w:id="52" w:name="sec52"/>
      <w:pPr>
        <w:pStyle w:val="Heading2"/>
      </w:pPr>
      <w:r>
        <w:t>12 免疫感染</w:t>
      </w:r>
      <w:bookmarkEnd w:id="52"/>
    </w:p>
    <w:p>
      <w:r>
        <w:t>用药暴露、已筛查结果、实际风险教育和就诊条件。</w:t>
      </w:r>
    </w:p>
    <w:p>
      <w:bookmarkStart w:id="54" w:name="sec54"/>
      <w:pPr>
        <w:pStyle w:val="Heading2"/>
      </w:pPr>
      <w:r>
        <w:t>13 肾毒性暴露</w:t>
      </w:r>
      <w:bookmarkEnd w:id="54"/>
    </w:p>
    <w:p>
      <w:r>
        <w:t>实际药物与草药核对，不能写未经告知的教育已完成。</w:t>
      </w:r>
    </w:p>
    <w:p>
      <w:bookmarkStart w:id="56" w:name="sec56"/>
      <w:pPr>
        <w:pStyle w:val="Heading2"/>
      </w:pPr>
      <w:r>
        <w:t>14 血透通路保护</w:t>
      </w:r>
      <w:bookmarkEnd w:id="56"/>
    </w:p>
    <w:p>
      <w:r>
        <w:t>当次内瘘或移植物实查及保护交代来源。</w:t>
      </w:r>
    </w:p>
    <w:p>
      <w:bookmarkStart w:id="58" w:name="sec58"/>
      <w:pPr>
        <w:pStyle w:val="Heading2"/>
      </w:pPr>
      <w:r>
        <w:t>15 透析导管护理</w:t>
      </w:r>
      <w:bookmarkEnd w:id="58"/>
    </w:p>
    <w:p>
      <w:r>
        <w:t>真实导管状态及护理团队交接，不自行假定已拔除。</w:t>
      </w:r>
    </w:p>
    <w:p>
      <w:bookmarkStart w:id="60" w:name="sec60"/>
      <w:pPr>
        <w:pStyle w:val="Heading2"/>
      </w:pPr>
      <w:r>
        <w:t>16 内瘘功能</w:t>
      </w:r>
      <w:bookmarkEnd w:id="60"/>
    </w:p>
    <w:p>
      <w:r>
        <w:t>震颤杂音与通路异常反馈，成熟不靠日期推。</w:t>
      </w:r>
    </w:p>
    <w:p>
      <w:bookmarkStart w:id="62" w:name="sec62"/>
      <w:pPr>
        <w:pStyle w:val="Heading2"/>
      </w:pPr>
      <w:r>
        <w:t>17 血透安排</w:t>
      </w:r>
      <w:bookmarkEnd w:id="62"/>
    </w:p>
    <w:p>
      <w:r>
        <w:t>下次时间地点方式须真实确认，计划与预约分开。</w:t>
      </w:r>
    </w:p>
    <w:p>
      <w:bookmarkStart w:id="64" w:name="sec64"/>
      <w:pPr>
        <w:pStyle w:val="Heading2"/>
      </w:pPr>
      <w:r>
        <w:t>18 腹透培训</w:t>
      </w:r>
      <w:bookmarkEnd w:id="64"/>
    </w:p>
    <w:p>
      <w:r>
        <w:t>患者照护者实际训练内容及完成度，未培训不得写已掌握。</w:t>
      </w:r>
    </w:p>
    <w:p>
      <w:bookmarkStart w:id="66" w:name="sec66"/>
      <w:pPr>
        <w:pStyle w:val="Heading2"/>
      </w:pPr>
      <w:r>
        <w:t>19 腹透出口护理</w:t>
      </w:r>
      <w:bookmarkEnd w:id="66"/>
    </w:p>
    <w:p>
      <w:r>
        <w:t>出口隧道当次观察和实际护理指导，未知不写正常。</w:t>
      </w:r>
    </w:p>
    <w:p>
      <w:bookmarkStart w:id="68" w:name="sec68"/>
      <w:pPr>
        <w:pStyle w:val="Heading2"/>
      </w:pPr>
      <w:r>
        <w:t>20 腹膜炎预防</w:t>
      </w:r>
      <w:bookmarkEnd w:id="68"/>
    </w:p>
    <w:p>
      <w:r>
        <w:t>污染及浑浊腹痛等响应和真实联系团队，不延迟评估。</w:t>
      </w:r>
    </w:p>
    <w:p>
      <w:bookmarkStart w:id="70" w:name="sec70"/>
      <w:pPr>
        <w:pStyle w:val="Heading2"/>
      </w:pPr>
      <w:r>
        <w:t>21 透析充分性</w:t>
      </w:r>
      <w:bookmarkEnd w:id="70"/>
    </w:p>
    <w:p>
      <w:r>
        <w:t>真实采样变量与测算，缺变量不补Kt/V或PET。</w:t>
      </w:r>
    </w:p>
    <w:p>
      <w:bookmarkStart w:id="72" w:name="sec72"/>
      <w:pPr>
        <w:pStyle w:val="Heading2"/>
      </w:pPr>
      <w:r>
        <w:t>22 方式转换</w:t>
      </w:r>
      <w:bookmarkEnd w:id="72"/>
    </w:p>
    <w:p>
      <w:r>
        <w:t>旧方式结束、新处方及实际开始逐事件确认。</w:t>
      </w:r>
    </w:p>
    <w:p>
      <w:bookmarkStart w:id="74" w:name="sec74"/>
      <w:pPr>
        <w:pStyle w:val="Heading2"/>
      </w:pPr>
      <w:r>
        <w:t>23 移植评估</w:t>
      </w:r>
      <w:bookmarkEnd w:id="74"/>
    </w:p>
    <w:p>
      <w:r>
        <w:t>是否已会诊或仅拟转介、责任团队与待办分开。</w:t>
      </w:r>
    </w:p>
    <w:p>
      <w:bookmarkStart w:id="76" w:name="sec76"/>
      <w:pPr>
        <w:pStyle w:val="Heading2"/>
      </w:pPr>
      <w:r>
        <w:t>24 移植后随访</w:t>
      </w:r>
      <w:bookmarkEnd w:id="76"/>
    </w:p>
    <w:p>
      <w:r>
        <w:t>浓度采样时点、免疫药实际用量与移植团队计划。</w:t>
      </w:r>
    </w:p>
    <w:p>
      <w:bookmarkStart w:id="78" w:name="sec78"/>
      <w:pPr>
        <w:pStyle w:val="Heading2"/>
      </w:pPr>
      <w:r>
        <w:t>25 出院诊断</w:t>
      </w:r>
      <w:bookmarkEnd w:id="78"/>
    </w:p>
    <w:p>
      <w:r>
        <w:t>病理最终阶段、待排及病因确定度一致。</w:t>
      </w:r>
    </w:p>
    <w:p>
      <w:bookmarkStart w:id="80" w:name="sec80"/>
      <w:pPr>
        <w:pStyle w:val="Heading2"/>
      </w:pPr>
      <w:r>
        <w:t>26 出院用药</w:t>
      </w:r>
      <w:bookmarkEnd w:id="80"/>
    </w:p>
    <w:p>
      <w:r>
        <w:t>名称剂量途径频次疗程与停复由真实处方逐项核。</w:t>
      </w:r>
    </w:p>
    <w:p>
      <w:bookmarkStart w:id="82" w:name="sec82"/>
      <w:pPr>
        <w:pStyle w:val="Heading2"/>
      </w:pPr>
      <w:r>
        <w:t>27 出院透析</w:t>
      </w:r>
      <w:bookmarkEnd w:id="82"/>
    </w:p>
    <w:p>
      <w:r>
        <w:t>实际模式通路处方及下一次安排，不补未确定参数。</w:t>
      </w:r>
    </w:p>
    <w:p>
      <w:bookmarkStart w:id="84" w:name="sec84"/>
      <w:pPr>
        <w:pStyle w:val="Heading2"/>
      </w:pPr>
      <w:r>
        <w:t>28 出院复查</w:t>
      </w:r>
      <w:bookmarkEnd w:id="84"/>
    </w:p>
    <w:p>
      <w:r>
        <w:t>时间项目、待回结果反馈途径和责任归属有真实计划。</w:t>
      </w:r>
    </w:p>
    <w:p>
      <w:bookmarkStart w:id="86" w:name="sec86"/>
      <w:pPr>
        <w:pStyle w:val="Heading2"/>
      </w:pPr>
      <w:r>
        <w:t>29 警示症状</w:t>
      </w:r>
      <w:bookmarkEnd w:id="86"/>
    </w:p>
    <w:p>
      <w:r>
        <w:t>结合本例呼吸困难少尿血尿发热浑浊或通路出血等适用表现。</w:t>
      </w:r>
    </w:p>
    <w:p>
      <w:bookmarkStart w:id="88" w:name="sec88"/>
      <w:pPr>
        <w:pStyle w:val="Heading2"/>
      </w:pPr>
      <w:r>
        <w:t>30 自我管理</w:t>
      </w:r>
      <w:bookmarkEnd w:id="88"/>
    </w:p>
    <w:p>
      <w:r>
        <w:t>真实称重血压尿量及用药执行能力，计划与实际掌握分开。</w:t>
      </w:r>
    </w:p>
    <w:p>
      <w:bookmarkStart w:id="90" w:name="sec90"/>
      <w:pPr>
        <w:pStyle w:val="Heading1"/>
      </w:pPr>
      <w:r>
        <w:t>真实性边界与常见错误</w:t>
      </w:r>
      <w:bookmarkEnd w:id="90"/>
    </w:p>
    <w:p>
      <w:r>
        <w:t>日期、时间、文书标题及真实医师姓名职称置于代码框外；每份正式正文放在独立 Markdown text 代码框内。框内仅放医学正文，不重复题头，不加“医学文书正文”、AI说明或未替换变量。日常病程及三级查房为连续完整一段，不分条、不空行、不加多余空格。入院、首次病程、操作、抢救、讨论和出院可按固定栏目组织；真实采样、治疗及抢救事件时间在正文保留。关键冲突在框外列核实项，不能生成未经核实的受影响净稿。</w:t>
      </w:r>
    </w:p>
    <w:p>
      <w:r>
        <w:t>知识、建议、医师计划、已开医嘱、已开始、已完成、暂停、停止、取消与恢复各有独立来源。不得从相邻状态推定实施，不从常见路径补写剂量、操作细节或疗效。</w:t>
      </w:r>
    </w:p>
    <w:p>
      <w:r>
        <w:t>常见错误：基线不明强分期；旧查体写今日；未来病理倒灌；目标超滤写实际；透析净量重复计入；只有医嘱却写给药；用职称代替真实查房决策。</w:t>
      </w:r>
    </w:p>
    <w:p>
      <w:bookmarkStart w:id="94" w:name="sec94"/>
      <w:pPr>
        <w:pStyle w:val="Heading1"/>
      </w:pPr>
      <w:r>
        <w:t>最终核对及协同</w:t>
      </w:r>
      <w:bookmarkEnd w:id="94"/>
    </w:p>
    <w:p>
      <w:r>
        <w:t>01 身份及本次住院一致。不适用者说明原因；不能以不适用掩盖应核实的重要事实。</w:t>
      </w:r>
    </w:p>
    <w:p>
      <w:r>
        <w:t>02 采样与可知时间正确。不适用者说明原因；不能以不适用掩盖应核实的重要事实。</w:t>
      </w:r>
    </w:p>
    <w:p>
      <w:r>
        <w:t>03 单位方法可比且基线有来源。不适用者说明原因；不能以不适用掩盖应核实的重要事实。</w:t>
      </w:r>
    </w:p>
    <w:p>
      <w:r>
        <w:t>04 诊断证据与确定度相符。不适用者说明原因；不能以不适用掩盖应核实的重要事实。</w:t>
      </w:r>
    </w:p>
    <w:p>
      <w:r>
        <w:t>05 尿量统计完整并明确区间。不适用者说明原因；不能以不适用掩盖应核实的重要事实。</w:t>
      </w:r>
    </w:p>
    <w:p>
      <w:r>
        <w:t>06 容量及超滤不重复。不适用者说明原因；不能以不适用掩盖应核实的重要事实。</w:t>
      </w:r>
    </w:p>
    <w:p>
      <w:r>
        <w:t>07 病理阶段和报告归属正确。不适用者说明原因；不能以不适用掩盖应核实的重要事实。</w:t>
      </w:r>
    </w:p>
    <w:p>
      <w:r>
        <w:t>08 药物医嘱与执行分开。不适用者说明原因；不能以不适用掩盖应核实的重要事实。</w:t>
      </w:r>
    </w:p>
    <w:p>
      <w:r>
        <w:t>09 每次透析和通路独立。不适用者说明原因；不能以不适用掩盖应核实的重要事实。</w:t>
      </w:r>
    </w:p>
    <w:p>
      <w:r>
        <w:t>10 真实医师意见可追溯。不适用者说明原因；不能以不适用掩盖应核实的重要事实。</w:t>
      </w:r>
    </w:p>
    <w:p>
      <w:r>
        <w:t>11 未替换占位符清零。不适用者说明原因；不能以不适用掩盖应核实的重要事实。</w:t>
      </w:r>
    </w:p>
    <w:p>
      <w:r>
        <w:t>12 题头与代码框及单段正确。不适用者说明原因；不能以不适用掩盖应核实的重要事实。</w:t>
      </w:r>
    </w:p>
    <w:p>
      <w:r>
        <w:t>00识别任务，01约束，11核病例状态；02组织文书，03实查容量，04检查与病理，05操作，06异常，07治疗，08真实层级意见，09长期管理，101—108提供疾病分支，10终审。仅加载实际相关模块。</w:t>
      </w:r>
    </w:p>
    <w:p>
      <w:bookmarkStart w:id="108" w:name="sec108"/>
      <w:pPr>
        <w:pStyle w:val="Heading1"/>
      </w:pPr>
      <w:r>
        <w:t>参考依据与版本维护</w:t>
      </w:r>
      <w:bookmarkEnd w:id="108"/>
    </w:p>
    <w:p>
      <w:r>
        <w:t>[R01] 病历书写基本规范。原卫生部，2010正式。适用：住院及门急诊文书。核验日期2026年10月29日；核验范围为发布状态及本模块引用规则，不代表所有推荐已逐条审查。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医疗质量安全核心制度要点。国家卫生健康委，2018正式。适用：医疗质量管理。核验日期2026年10月29日；核验范围为发布状态及本模块引用规则，不代表所有推荐已逐条审查。</w:t>
      </w:r>
    </w:p>
    <w:p>
      <w:r>
        <w:t>https://www.nhc.gov.cn/yzygj/c100068/201804/42ab2552298047679cd6ec733f233862.shtml</w:t>
      </w:r>
    </w:p>
    <w:p>
      <w:r>
        <w:t>[R05] CKD Evaluation and Management。KDIGO，2024正式。适用：成人及指南相应儿童CKD章节。核验日期2026年10月29日；核验范围为发布状态及本模块引用规则，不代表所有推荐已逐条审查。</w:t>
      </w:r>
    </w:p>
    <w:p>
      <w:r>
        <w:t>https://kdigo.org/wp-content/uploads/2024/03/KDIGO-2024-CKD-Guideline.pdf</w:t>
      </w:r>
    </w:p>
    <w:p>
      <w:r>
        <w:t>[R07] Anemia in CKD。KDIGO，2026正式。适用：成人儿童CKD含透析和移植贫血。核验日期2026年10月29日；核验范围为发布状态及本模块引用规则，不代表所有推荐已逐条审查。</w:t>
      </w:r>
    </w:p>
    <w:p>
      <w:r>
        <w:t>https://kdigo.org/guidelines/anemia-in-ckd/</w:t>
      </w:r>
    </w:p>
    <w:p>
      <w:r>
        <w:t>[R12] CKD Mineral and Bone Disorder。KDIGO，2017正式更新。适用：CKD相关骨矿物质异常。核验日期2026年10月29日；核验范围为发布状态及本模块引用规则，不代表所有推荐已逐条审查。</w:t>
      </w:r>
    </w:p>
    <w:p>
      <w:r>
        <w:t>https://kdigo.org/guidelines/ckd-mbd/</w:t>
      </w:r>
    </w:p>
    <w:p>
      <w:r>
        <w:t>[R04] 血液净化标准操作规程。国家卫生健康委，2021正式。适用：血液净化操作及质控。核验日期2026年10月29日；核验范围为发布状态及本模块引用规则，不代表所有推荐已逐条审查。</w:t>
      </w:r>
    </w:p>
    <w:p>
      <w:r>
        <w:t>https://www.nhc.gov.cn/wjw/c100175/202111/0f854f7e65cf49bebd930a0f95c8efad.shtml</w:t>
      </w:r>
    </w:p>
    <w:p>
      <w:r>
        <w:t>[R13] ISPD peritonitis guideline recommendations。ISPD，2022正式。适用：腹透相关腹膜炎；儿童另核对专门指南。核验日期2026年10月29日；核验范围为发布状态及本模块引用规则，不代表所有推荐已逐条审查。</w:t>
      </w:r>
    </w:p>
    <w:p>
      <w:r>
        <w:t>https://doi.org/10.1177/08968608221080586</w:t>
      </w:r>
    </w:p>
    <w:p>
      <w:r>
        <w:t>[R14] Catheter related Infection Recommendations。ISPD，2023正式。适用：腹透导管相关感染。核验日期2026年10月29日；核验范围为发布状态及本模块引用规则，不代表所有推荐已逐条审查。</w:t>
      </w:r>
    </w:p>
    <w:p>
      <w:r>
        <w:t>https://ispd.org/wp-content/uploads/ISPD-Catheter-related-Infection-Recommendations-2023-Update.pdf</w:t>
      </w:r>
    </w:p>
    <w:p>
      <w:r>
        <w:t>[R15] ISPD指南目录。ISPD，2020处方 2021腹膜功能 2024儿童感染 2025培训。适用：相应腹透人群；目录仅核实版本，具体处方须查原文。核验日期2026年10月29日；核验范围为发布状态及本模块引用规则，不代表所有推荐已逐条审查。</w:t>
      </w:r>
    </w:p>
    <w:p>
      <w:r>
        <w:t>https://ispd.org/guidelines/</w:t>
      </w:r>
    </w:p>
    <w:p>
      <w:r>
        <w:t>[R16] Care of Kidney Transplant Recipients。KDIGO，2009正式；不声称为所有主题的最新证据。适用：成人儿童肾移植受者。核验日期2026年10月29日；核验范围为发布状态及本模块引用规则，不代表所有推荐已逐条审查。</w:t>
      </w:r>
    </w:p>
    <w:p>
      <w:r>
        <w:t>https://kdigo.org/guidelines/transplant-recipient/</w:t>
      </w:r>
    </w:p>
    <w:p>
      <w:r>
        <w:t>[R22] 中国肾性贫血诊治临床实践指南。中国医师协会肾脏内科医师分会指南工作组，2021正式发表；本次仅核题录与摘要。适用：肾性贫血；具体推荐须核全文。核验日期2026年10月29日；核验范围为发布状态及本模块引用规则，不代表所有推荐已逐条审查。</w:t>
      </w:r>
    </w:p>
    <w:p>
      <w:r>
        <w:t>https://cs.medjournals.cn/cn/toc/57744</w:t>
      </w:r>
    </w:p>
    <w:p>
      <w:r>
        <w:t>[R23] 维持性血液透析合并肾性贫血临床管理中国专家共识。中国研究型医院学会血液净化专业委员会等，2026正式发表；本次仅核期刊题录与摘要。适用：维持性血透贫血。核验日期2026年10月29日；核验范围为发布状态及本模块引用规则，不代表所有推荐已逐条审查。</w:t>
      </w:r>
    </w:p>
    <w:p>
      <w:r>
        <w:t>https://www.cjbp.org.cn/CN/Y2026/V25/I05</w:t>
      </w:r>
    </w:p>
    <w:p>
      <w:r>
        <w:t>KDIGO 2026 AKI/AKD及糖尿病更新、2027 CKD药物管理更新仍按官方网站显示的公开草案状态管理，不能作为已发布新标准。2012 AKI、2022糖尿病等正式版在相应范围继续使用。每季度及重要更新时核查；由科室、药师与病案质控审校，记录版本、变更依据、生效日期并重跑受影响样例。药物批准范围与具体操作须核本院及现行说明书。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09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Heiti SC" w:hAnsi="Heiti SC" w:eastAsia="Hei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