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102 慢性肾脏病肾衰竭及CKD相关并发症专病模板库</w:t>
      </w:r>
    </w:p>
    <w:p>
      <w:r>
        <w:t>肾内科 AI 病历书写系统 V1.0</w:t>
      </w:r>
    </w:p>
    <w:p>
      <w:r>
        <w:t>第三级模块  医师审核用规则与模板</w:t>
      </w:r>
    </w:p>
    <w:p>
      <w:r>
        <w:t>编制及来源核验 2026年10月29日</w:t>
      </w:r>
    </w:p>
    <w:p>
      <w:r>
        <w:t>专病知识、诊断边界及33项连续文书主路径，并用差异分支覆盖相关病种。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诊断及版本基线</w:t>
        </w:r>
      </w:hyperlink>
    </w:p>
    <w:p>
      <w:hyperlink w:anchor="sec9">
        <w:r>
          <w:t>慢性肾脏病及肾衰竭 的33项路径</w:t>
        </w:r>
      </w:hyperlink>
    </w:p>
    <w:p>
      <w:hyperlink w:anchor="sec76">
        <w:r>
          <w:t>CKD相关贫血 的33项路径</w:t>
        </w:r>
      </w:hyperlink>
    </w:p>
    <w:p>
      <w:hyperlink w:anchor="sec143">
        <w:r>
          <w:t>CKD矿物质骨代谢异常 的33项路径</w:t>
        </w:r>
      </w:hyperlink>
    </w:p>
    <w:p>
      <w:hyperlink w:anchor="sec210">
        <w:r>
          <w:t>相关疾病和治疗分支的差异化调用</w:t>
        </w:r>
      </w:hyperlink>
    </w:p>
    <w:p>
      <w:hyperlink w:anchor="sec219">
        <w:r>
          <w:t>原始需求覆盖索引</w:t>
        </w:r>
      </w:hyperlink>
    </w:p>
    <w:p>
      <w:hyperlink w:anchor="sec243">
        <w:r>
          <w:t>虚构病例与完整示范</w:t>
        </w:r>
      </w:hyperlink>
    </w:p>
    <w:p>
      <w:hyperlink w:anchor="sec247">
        <w:r>
          <w:t>真实性边界与常见错误</w:t>
        </w:r>
      </w:hyperlink>
    </w:p>
    <w:p>
      <w:hyperlink w:anchor="sec251">
        <w:r>
          <w:t>最终核对及协同</w:t>
        </w:r>
      </w:hyperlink>
    </w:p>
    <w:p>
      <w:hyperlink w:anchor="sec265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功能定位：专病知识、诊断边界及33项连续文书主路径，并用差异分支覆盖相关病种。</w:t>
      </w:r>
    </w:p>
    <w:p>
      <w:r>
        <w:t>适用场景与自动调用：识别该领域疾病、综合征、治疗阶段、复发或随访。</w:t>
      </w:r>
    </w:p>
    <w:p>
      <w:r>
        <w:t>必要资料：稳定史、当次肾脏实查及原始尿检肾功能，相关影像免疫病理、治疗及真实意见。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诊断及版本基线</w:t>
      </w:r>
      <w:bookmarkEnd w:id="6"/>
    </w:p>
    <w:p>
      <w:r>
        <w:t>CKD须肾结构或功能异常持续至少3个月并影响健康，不能由单次异常推断。G分级按eGFR mL/min/1.73m²：G1≥90，G2为60—89，G3a为45—59，G3b为30—44，G4为15—29，G5&lt;15；G1/G2还需肾损害标志才能称CKD。A分级按ACR mg/g：A1&lt;30，A2为30—300，A3&gt;300；mg/mmol采用相应3及30界值并保留原单位，不把PCR或尿试纸直接当ACR。按病因C、G与A联合表达；未测ACR写A分层未明，不等同A1。</w:t>
      </w:r>
    </w:p>
    <w:p>
      <w:r>
        <w:t>以下三条主要路径各含33项；同一患者只加载实际相关路径。其他相关病种使用后续差异分支，不把相邻疾病的病理、剂量或风险照搬。知识说明不是患者已有表现。</w:t>
      </w:r>
    </w:p>
    <w:p>
      <w:bookmarkStart w:id="9" w:name="sec9"/>
      <w:pPr>
        <w:pStyle w:val="Heading1"/>
      </w:pPr>
      <w:r>
        <w:t>慢性肾脏病及肾衰竭 的33项路径</w:t>
      </w:r>
      <w:bookmarkEnd w:id="9"/>
    </w:p>
    <w:p>
      <w:bookmarkStart w:id="10" w:name="sec10"/>
      <w:pPr>
        <w:pStyle w:val="Heading3"/>
      </w:pPr>
      <w:r>
        <w:t>01 疾病定义</w:t>
      </w:r>
      <w:bookmarkEnd w:id="10"/>
    </w:p>
    <w:p>
      <w:r>
        <w:t>慢性结构或功能异常；病因、G和A共同决定风险</w:t>
      </w:r>
    </w:p>
    <w:p>
      <w:bookmarkStart w:id="12" w:name="sec12"/>
      <w:pPr>
        <w:pStyle w:val="Heading3"/>
      </w:pPr>
      <w:r>
        <w:t>02 病因与机制</w:t>
      </w:r>
      <w:bookmarkEnd w:id="12"/>
    </w:p>
    <w:p>
      <w:r>
        <w:t>不同病因导致肾单位损伤，残存肾单位适应和纤维化参与进展；心血管、代谢及容量负担影响结局。</w:t>
      </w:r>
    </w:p>
    <w:p>
      <w:bookmarkStart w:id="14" w:name="sec14"/>
      <w:pPr>
        <w:pStyle w:val="Heading3"/>
      </w:pPr>
      <w:r>
        <w:t>03 临床表现</w:t>
      </w:r>
      <w:bookmarkEnd w:id="14"/>
    </w:p>
    <w:p>
      <w:r>
        <w:t>早期可能无症状；进展时可有水肿、高血压、乏力及代谢并发症，不能由疾病名称推定全部存在。这些是知识范围，不能自动写成患者已有事实。</w:t>
      </w:r>
    </w:p>
    <w:p>
      <w:bookmarkStart w:id="16" w:name="sec16"/>
      <w:pPr>
        <w:pStyle w:val="Heading3"/>
      </w:pPr>
      <w:r>
        <w:t>04 病史采集</w:t>
      </w:r>
      <w:bookmarkEnd w:id="16"/>
    </w:p>
    <w:p>
      <w:r>
        <w:t>既往异常超过3个月证据、糖尿病高血压、家族及药物史；核发生时间、既往日期、真实治疗与反应及信息来源。</w:t>
      </w:r>
    </w:p>
    <w:p>
      <w:bookmarkStart w:id="18" w:name="sec18"/>
      <w:pPr>
        <w:pStyle w:val="Heading3"/>
      </w:pPr>
      <w:r>
        <w:t>05 专科查体</w:t>
      </w:r>
      <w:bookmarkEnd w:id="18"/>
    </w:p>
    <w:p>
      <w:r>
        <w:t>标准血压、容量、营养和通路准备。只写当次实际实施项目。</w:t>
      </w:r>
    </w:p>
    <w:p>
      <w:bookmarkStart w:id="20" w:name="sec20"/>
      <w:pPr>
        <w:pStyle w:val="Heading3"/>
      </w:pPr>
      <w:r>
        <w:t>06 尿液检验</w:t>
      </w:r>
      <w:bookmarkEnd w:id="20"/>
    </w:p>
    <w:p>
      <w:r>
        <w:t>ACR/PCR及尿沉渣，各项目不能替代。标本和统计窗口注明，未测不写阴性。</w:t>
      </w:r>
    </w:p>
    <w:p>
      <w:bookmarkStart w:id="22" w:name="sec22"/>
      <w:pPr>
        <w:pStyle w:val="Heading3"/>
      </w:pPr>
      <w:r>
        <w:t>07 肾功能和电解质</w:t>
      </w:r>
      <w:bookmarkEnd w:id="22"/>
    </w:p>
    <w:p>
      <w:r>
        <w:t>记录eGFR公式及可比性，钾和碳酸氢根等并发症证据。注意采样与RRT时序，不混单位和公式。</w:t>
      </w:r>
    </w:p>
    <w:p>
      <w:bookmarkStart w:id="24" w:name="sec24"/>
      <w:pPr>
        <w:pStyle w:val="Heading3"/>
      </w:pPr>
      <w:r>
        <w:t>08 影像</w:t>
      </w:r>
      <w:bookmarkEnd w:id="24"/>
    </w:p>
    <w:p>
      <w:r>
        <w:t>肾形态、梗阻及血管异常按实际报告。报告原文与临床分析分开。</w:t>
      </w:r>
    </w:p>
    <w:p>
      <w:bookmarkStart w:id="26" w:name="sec26"/>
      <w:pPr>
        <w:pStyle w:val="Heading3"/>
      </w:pPr>
      <w:r>
        <w:t>09 免疫与病因检查</w:t>
      </w:r>
      <w:bookmarkEnd w:id="26"/>
    </w:p>
    <w:p>
      <w:r>
        <w:t>病因不明或活动性线索时补相关检查。申请不证明结果已回。</w:t>
      </w:r>
    </w:p>
    <w:p>
      <w:bookmarkStart w:id="28" w:name="sec28"/>
      <w:pPr>
        <w:pStyle w:val="Heading3"/>
      </w:pPr>
      <w:r>
        <w:t>10 病理或替代性专科证据</w:t>
      </w:r>
      <w:bookmarkEnd w:id="28"/>
    </w:p>
    <w:p>
      <w:r>
        <w:t>适应性由医师评估，晚期小肾风险和获益需权衡。按实际适用性替换，不强迫不必要操作。</w:t>
      </w:r>
    </w:p>
    <w:p>
      <w:bookmarkStart w:id="30" w:name="sec30"/>
      <w:pPr>
        <w:pStyle w:val="Heading3"/>
      </w:pPr>
      <w:r>
        <w:t>11 诊断标准</w:t>
      </w:r>
      <w:bookmarkEnd w:id="30"/>
    </w:p>
    <w:p>
      <w:r>
        <w:t>依CKD慢性证据及G/A表；单次异常不确诊。标准不完整时保持待明确，不用模板强行确诊。</w:t>
      </w:r>
    </w:p>
    <w:p>
      <w:bookmarkStart w:id="32" w:name="sec32"/>
      <w:pPr>
        <w:pStyle w:val="Heading3"/>
      </w:pPr>
      <w:r>
        <w:t>12 诊断依据</w:t>
      </w:r>
      <w:bookmarkEnd w:id="32"/>
    </w:p>
    <w:p>
      <w:r>
        <w:t>将本患者关于ACR/PCR及尿沉渣，各项目不能替代、记录eGFR公式及可比性，钾和碳酸氢根等并发症证据及相关病史逐项对应于诊断；列支持、反对及未获得证据。</w:t>
      </w:r>
    </w:p>
    <w:p>
      <w:bookmarkStart w:id="34" w:name="sec34"/>
      <w:pPr>
        <w:pStyle w:val="Heading3"/>
      </w:pPr>
      <w:r>
        <w:t>13 鉴别诊断</w:t>
      </w:r>
      <w:bookmarkEnd w:id="34"/>
    </w:p>
    <w:p>
      <w:r>
        <w:t>AKI叠加、可逆梗阻和非肾性肌酐差异。对本例逐项说明支持、反对及下一步，不机械宣称排除。</w:t>
      </w:r>
    </w:p>
    <w:p>
      <w:bookmarkStart w:id="36" w:name="sec36"/>
      <w:pPr>
        <w:pStyle w:val="Heading3"/>
      </w:pPr>
      <w:r>
        <w:t>14 分型与分期</w:t>
      </w:r>
      <w:bookmarkEnd w:id="36"/>
    </w:p>
    <w:p>
      <w:r>
        <w:t>CGA和适用的风险模型，未计算不填风险百分数。无完整变量不补分型、评分或风险百分数。</w:t>
      </w:r>
    </w:p>
    <w:p>
      <w:bookmarkStart w:id="38" w:name="sec38"/>
      <w:pPr>
        <w:pStyle w:val="Heading3"/>
      </w:pPr>
      <w:r>
        <w:t>15 危险分层</w:t>
      </w:r>
      <w:bookmarkEnd w:id="38"/>
    </w:p>
    <w:p>
      <w:r>
        <w:t>心血管病、高钾、酸中毒、贫血和CKD-MBD。潜在风险与已经发生的并发症分开。</w:t>
      </w:r>
    </w:p>
    <w:p>
      <w:bookmarkStart w:id="40" w:name="sec40"/>
      <w:pPr>
        <w:pStyle w:val="Heading3"/>
      </w:pPr>
      <w:r>
        <w:t>16 肾功能动态评价</w:t>
      </w:r>
      <w:bookmarkEnd w:id="40"/>
    </w:p>
    <w:p>
      <w:r>
        <w:t>记录eGFR公式及可比性，钾和碳酸氢根等并发症证据；透析后降低、尿量受利尿影响、跨日基线均说明限制。</w:t>
      </w:r>
    </w:p>
    <w:p>
      <w:bookmarkStart w:id="42" w:name="sec42"/>
      <w:pPr>
        <w:pStyle w:val="Heading3"/>
      </w:pPr>
      <w:r>
        <w:t>17 治疗原则</w:t>
      </w:r>
      <w:bookmarkEnd w:id="42"/>
    </w:p>
    <w:p>
      <w:r>
        <w:t>个体化肾保护、血压容量、合并症及RRT准备。医师建议、已开处方和实际执行分别表达。</w:t>
      </w:r>
    </w:p>
    <w:p>
      <w:bookmarkStart w:id="44" w:name="sec44"/>
      <w:pPr>
        <w:pStyle w:val="Heading3"/>
      </w:pPr>
      <w:r>
        <w:t>18 肾脏替代或特殊治疗评估</w:t>
      </w:r>
      <w:bookmarkEnd w:id="44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46" w:name="sec46"/>
      <w:pPr>
        <w:pStyle w:val="Heading3"/>
      </w:pPr>
      <w:r>
        <w:t>19 药物管理</w:t>
      </w:r>
      <w:bookmarkEnd w:id="46"/>
    </w:p>
    <w:p>
      <w:r>
        <w:t>个体化肾保护、血压容量、合并症及RRT准备；核肾功能适用、感染出血及停复。真实剂量途径频次来自医嘱和执行，不由AI补造。</w:t>
      </w:r>
    </w:p>
    <w:p>
      <w:bookmarkStart w:id="48" w:name="sec48"/>
      <w:pPr>
        <w:pStyle w:val="Heading3"/>
      </w:pPr>
      <w:r>
        <w:t>20 并发症</w:t>
      </w:r>
      <w:bookmarkEnd w:id="48"/>
    </w:p>
    <w:p>
      <w:r>
        <w:t>心血管病、高钾、酸中毒、贫血和CKD-MBD。若出现异常转06，记录事件时刻、实际措施及复评。</w:t>
      </w:r>
    </w:p>
    <w:p>
      <w:bookmarkStart w:id="50" w:name="sec50"/>
      <w:pPr>
        <w:pStyle w:val="Heading3"/>
      </w:pPr>
      <w:r>
        <w:t>21 首次病程</w:t>
      </w:r>
      <w:bookmarkEnd w:id="50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鉴别诊断：【针对本例AKI叠加、可逆梗阻和非肾性肌酐差异的支持反对】</w:t>
      </w:r>
    </w:p>
    <w:p>
      <w:pPr>
        <w:keepNext/>
        <w:keepLines/>
        <w:spacing w:after="0" w:line="252" w:lineRule="auto"/>
      </w:pPr>
      <w:r>
        <w:t>风险及计划：【真实医师对心血管病、高钾、酸中毒、贫血和CKD-MBD的评估及安排】。</w:t>
      </w:r>
    </w:p>
    <w:p>
      <w:r>
        <w:t>```</w:t>
      </w:r>
    </w:p>
    <w:p>
      <w:bookmarkStart w:id="52" w:name="sec52"/>
      <w:pPr>
        <w:pStyle w:val="Heading3"/>
      </w:pPr>
      <w:r>
        <w:t>22 日常病程</w:t>
      </w:r>
      <w:bookmarkEnd w:id="52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标准血压、容量、营养和通路准备相关的当次实查】，检查【实际日期及记录eGFR公式及可比性，钾和碳酸氢根等并发症证据的结果】。目前【诊断确定度和真实阶段】，已实施【治疗执行与反应】，后续【围绕肾功能、ACR、血压、药物耐受和透析或移植衔接的真实计划】。</w:t>
      </w:r>
    </w:p>
    <w:p>
      <w:r>
        <w:t>```</w:t>
      </w:r>
    </w:p>
    <w:p>
      <w:bookmarkStart w:id="54" w:name="sec54"/>
      <w:pPr>
        <w:pStyle w:val="Heading3"/>
      </w:pPr>
      <w:r>
        <w:t>23 主治医师查房</w:t>
      </w:r>
      <w:bookmarkEnd w:id="54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记录eGFR公式及可比性，钾和碳酸氢根等并发症证据、尿量容量及实际治疗执行的真实意见】，后续【近期监测】。</w:t>
      </w:r>
    </w:p>
    <w:p>
      <w:r>
        <w:t>```</w:t>
      </w:r>
    </w:p>
    <w:p>
      <w:bookmarkStart w:id="56" w:name="sec56"/>
      <w:pPr>
        <w:pStyle w:val="Heading3"/>
      </w:pPr>
      <w:r>
        <w:t>24 副主任医师查房</w:t>
      </w:r>
      <w:bookmarkEnd w:id="56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依CKD慢性证据及G/A表；单次异常不确诊与AKI叠加、可逆梗阻和非肾性肌酐差异的真实复核，及治疗优化意见】，下一步【真实计划】。</w:t>
      </w:r>
    </w:p>
    <w:p>
      <w:r>
        <w:t>```</w:t>
      </w:r>
    </w:p>
    <w:p>
      <w:bookmarkStart w:id="58" w:name="sec58"/>
      <w:pPr>
        <w:pStyle w:val="Heading3"/>
      </w:pPr>
      <w:r>
        <w:t>25 主任医师查房</w:t>
      </w:r>
      <w:bookmarkEnd w:id="58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慢性肾脏病及肾衰竭的复杂证据、个体化肾保护、血压容量、合并症及RRT准备的重大权衡及心血管病、高钾、酸中毒、贫血和CKD-MBD与长期预后】，后续【真实决策】。</w:t>
      </w:r>
    </w:p>
    <w:p>
      <w:r>
        <w:t>```</w:t>
      </w:r>
    </w:p>
    <w:p>
      <w:bookmarkStart w:id="60" w:name="sec60"/>
      <w:pPr>
        <w:pStyle w:val="Heading3"/>
      </w:pPr>
      <w:r>
        <w:t>26 特殊操作前后病程</w:t>
      </w:r>
      <w:bookmarkEnd w:id="60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62" w:name="sec62"/>
      <w:pPr>
        <w:pStyle w:val="Heading3"/>
      </w:pPr>
      <w:r>
        <w:t>27 治疗调整病程</w:t>
      </w:r>
      <w:bookmarkEnd w:id="62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针对【实际问题和变化】，医师决定【有关个体化肾保护、血压容量、合并症及RRT准备的真实调整】，医嘱【状态】，实际执行【来源】，反应及停复【事实】，后续【真实复查安排】。</w:t>
      </w:r>
    </w:p>
    <w:p>
      <w:r>
        <w:t>```</w:t>
      </w:r>
    </w:p>
    <w:p>
      <w:bookmarkStart w:id="64" w:name="sec64"/>
      <w:pPr>
        <w:pStyle w:val="Heading3"/>
      </w:pPr>
      <w:r>
        <w:t>28 异常病程</w:t>
      </w:r>
      <w:bookmarkEnd w:id="64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心血管病、高钾、酸中毒、贫血和CKD-MBD相关的判断及确定度】，已采取【实际措施时间】，复评【结果】，后续【现场团队安排】。</w:t>
      </w:r>
    </w:p>
    <w:p>
      <w:r>
        <w:t>```</w:t>
      </w:r>
    </w:p>
    <w:p>
      <w:bookmarkStart w:id="66" w:name="sec66"/>
      <w:pPr>
        <w:pStyle w:val="Heading3"/>
      </w:pPr>
      <w:r>
        <w:t>29 出院记录</w:t>
      </w:r>
      <w:bookmarkEnd w:id="66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诊疗经过：【慢性肾脏病及肾衰竭证据演变及每次实际治疗】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出院计划：【真实带药、治疗与肾功能、ACR、血压、药物耐受和透析或移植衔接】。</w:t>
      </w:r>
    </w:p>
    <w:p>
      <w:r>
        <w:t>```</w:t>
      </w:r>
    </w:p>
    <w:p>
      <w:bookmarkStart w:id="68" w:name="sec68"/>
      <w:pPr>
        <w:pStyle w:val="Heading3"/>
      </w:pPr>
      <w:r>
        <w:t>30 出院医嘱</w:t>
      </w:r>
      <w:bookmarkEnd w:id="68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复查及待回报：【围绕肾功能、ACR、血压、药物耐受和透析或移植衔接的实际日期项目责任】</w:t>
      </w:r>
    </w:p>
    <w:p>
      <w:pPr>
        <w:keepNext/>
        <w:keepLines/>
        <w:spacing w:after="0" w:line="252" w:lineRule="auto"/>
      </w:pPr>
      <w:r>
        <w:t>警示症状：【与心血管病、高钾、酸中毒、贫血和CKD-MBD相关且已真实交代的内容】。</w:t>
      </w:r>
    </w:p>
    <w:p>
      <w:r>
        <w:t>```</w:t>
      </w:r>
    </w:p>
    <w:p>
      <w:bookmarkStart w:id="70" w:name="sec70"/>
      <w:pPr>
        <w:pStyle w:val="Heading3"/>
      </w:pPr>
      <w:r>
        <w:t>31 长期随访</w:t>
      </w:r>
      <w:bookmarkEnd w:id="70"/>
    </w:p>
    <w:p>
      <w:r>
        <w:t>肾功能、ACR、血压、药物耐受和透析或移植衔接。记录真实预约和实际完成，不把计划写完成。</w:t>
      </w:r>
    </w:p>
    <w:p>
      <w:bookmarkStart w:id="72" w:name="sec72"/>
      <w:pPr>
        <w:pStyle w:val="Heading3"/>
      </w:pPr>
      <w:r>
        <w:t>32 最终质控</w:t>
      </w:r>
      <w:bookmarkEnd w:id="72"/>
    </w:p>
    <w:p>
      <w:r>
        <w:t>依CKD慢性证据及G/A表；单次异常不确诊；核每次诊断、检查可知时间、实际执行和适应性由医师评估，晚期小肾风险和获益需权衡的证据边界，按10终审。</w:t>
      </w:r>
    </w:p>
    <w:p>
      <w:bookmarkStart w:id="74" w:name="sec74"/>
      <w:pPr>
        <w:pStyle w:val="Heading3"/>
      </w:pPr>
      <w:r>
        <w:t>33 参考指南与版本</w:t>
      </w:r>
      <w:bookmarkEnd w:id="74"/>
    </w:p>
    <w:p>
      <w:r>
        <w:t>采用文末R05、R07、R12、R10的相应正式版本和适用人群。主路径是文书组织，不将所有提示宣称为指南分级推荐；具体推荐及药物使用需实际查原文和本院规范。</w:t>
      </w:r>
    </w:p>
    <w:p>
      <w:bookmarkStart w:id="76" w:name="sec76"/>
      <w:pPr>
        <w:pStyle w:val="Heading1"/>
      </w:pPr>
      <w:r>
        <w:t>CKD相关贫血 的33项路径</w:t>
      </w:r>
      <w:bookmarkEnd w:id="76"/>
    </w:p>
    <w:p>
      <w:bookmarkStart w:id="77" w:name="sec77"/>
      <w:pPr>
        <w:pStyle w:val="Heading3"/>
      </w:pPr>
      <w:r>
        <w:t>01 疾病定义</w:t>
      </w:r>
      <w:bookmarkEnd w:id="77"/>
    </w:p>
    <w:p>
      <w:r>
        <w:t>CKD可致红细胞生成不足，常与缺铁、炎症或失血共存</w:t>
      </w:r>
    </w:p>
    <w:p>
      <w:bookmarkStart w:id="79" w:name="sec79"/>
      <w:pPr>
        <w:pStyle w:val="Heading3"/>
      </w:pPr>
      <w:r>
        <w:t>02 病因与机制</w:t>
      </w:r>
      <w:bookmarkEnd w:id="79"/>
    </w:p>
    <w:p>
      <w:r>
        <w:t>促红细胞生成反应不足、炎症与铁利用受限、失血及红细胞生存缩短可共同参与；CKD不排除其他独立贫血原因。</w:t>
      </w:r>
    </w:p>
    <w:p>
      <w:bookmarkStart w:id="81" w:name="sec81"/>
      <w:pPr>
        <w:pStyle w:val="Heading3"/>
      </w:pPr>
      <w:r>
        <w:t>03 临床表现</w:t>
      </w:r>
      <w:bookmarkEnd w:id="81"/>
    </w:p>
    <w:p>
      <w:r>
        <w:t>乏力、活动耐量下降、心悸或气促可见，症状亦可由心肺或其他病因解释。这些是知识范围，不能自动写成患者已有事实。</w:t>
      </w:r>
    </w:p>
    <w:p>
      <w:bookmarkStart w:id="83" w:name="sec83"/>
      <w:pPr>
        <w:pStyle w:val="Heading3"/>
      </w:pPr>
      <w:r>
        <w:t>04 病史采集</w:t>
      </w:r>
      <w:bookmarkEnd w:id="83"/>
    </w:p>
    <w:p>
      <w:r>
        <w:t>乏力气促、失血月经消化道、输血铁剂ESA及依从性；核发生时间、既往日期、真实治疗与反应及信息来源。</w:t>
      </w:r>
    </w:p>
    <w:p>
      <w:bookmarkStart w:id="85" w:name="sec85"/>
      <w:pPr>
        <w:pStyle w:val="Heading3"/>
      </w:pPr>
      <w:r>
        <w:t>05 专科查体</w:t>
      </w:r>
      <w:bookmarkEnd w:id="85"/>
    </w:p>
    <w:p>
      <w:r>
        <w:t>贫血貌、血压、心衰及出血线索。只写当次实际实施项目。</w:t>
      </w:r>
    </w:p>
    <w:p>
      <w:bookmarkStart w:id="87" w:name="sec87"/>
      <w:pPr>
        <w:pStyle w:val="Heading3"/>
      </w:pPr>
      <w:r>
        <w:t>06 尿液检验</w:t>
      </w:r>
      <w:bookmarkEnd w:id="87"/>
    </w:p>
    <w:p>
      <w:r>
        <w:t>尿血、蛋白及肾功能病程，仅为病因线索。标本和统计窗口注明，未测不写阴性。</w:t>
      </w:r>
    </w:p>
    <w:p>
      <w:bookmarkStart w:id="89" w:name="sec89"/>
      <w:pPr>
        <w:pStyle w:val="Heading3"/>
      </w:pPr>
      <w:r>
        <w:t>07 肾功能和电解质</w:t>
      </w:r>
      <w:bookmarkEnd w:id="89"/>
    </w:p>
    <w:p>
      <w:r>
        <w:t>Hb、网织红细胞、铁蛋白TSAT和肾功能，必要时B12叶酸溶血等。注意采样与RRT时序，不混单位和公式。</w:t>
      </w:r>
    </w:p>
    <w:p>
      <w:bookmarkStart w:id="91" w:name="sec91"/>
      <w:pPr>
        <w:pStyle w:val="Heading3"/>
      </w:pPr>
      <w:r>
        <w:t>08 影像</w:t>
      </w:r>
      <w:bookmarkEnd w:id="91"/>
    </w:p>
    <w:p>
      <w:r>
        <w:t>按失血或原病因需要选择，不为贫血固定做肾CT。报告原文与临床分析分开。</w:t>
      </w:r>
    </w:p>
    <w:p>
      <w:bookmarkStart w:id="93" w:name="sec93"/>
      <w:pPr>
        <w:pStyle w:val="Heading3"/>
      </w:pPr>
      <w:r>
        <w:t>09 免疫与病因检查</w:t>
      </w:r>
      <w:bookmarkEnd w:id="93"/>
    </w:p>
    <w:p>
      <w:r>
        <w:t>感染炎症、单克隆蛋白及其他线索按需要。申请不证明结果已回。</w:t>
      </w:r>
    </w:p>
    <w:p>
      <w:bookmarkStart w:id="95" w:name="sec95"/>
      <w:pPr>
        <w:pStyle w:val="Heading3"/>
      </w:pPr>
      <w:r>
        <w:t>10 病理或替代性专科证据</w:t>
      </w:r>
      <w:bookmarkEnd w:id="95"/>
    </w:p>
    <w:p>
      <w:r>
        <w:t>骨髓或肾病理无普遍常规要求，跨科依据实际指征。按实际适用性替换，不强迫不必要操作。</w:t>
      </w:r>
    </w:p>
    <w:p>
      <w:bookmarkStart w:id="97" w:name="sec97"/>
      <w:pPr>
        <w:pStyle w:val="Heading3"/>
      </w:pPr>
      <w:r>
        <w:t>11 诊断标准</w:t>
      </w:r>
      <w:bookmarkEnd w:id="97"/>
    </w:p>
    <w:p>
      <w:r>
        <w:t>贫血诊断与肾性归因分开；先核可逆原因。标准不完整时保持待明确，不用模板强行确诊。</w:t>
      </w:r>
    </w:p>
    <w:p>
      <w:bookmarkStart w:id="99" w:name="sec99"/>
      <w:pPr>
        <w:pStyle w:val="Heading3"/>
      </w:pPr>
      <w:r>
        <w:t>12 诊断依据</w:t>
      </w:r>
      <w:bookmarkEnd w:id="99"/>
    </w:p>
    <w:p>
      <w:r>
        <w:t>将本患者关于尿血、蛋白及肾功能病程，仅为病因线索、Hb、网织红细胞、铁蛋白TSAT和肾功能，必要时B12叶酸溶血等及相关病史逐项对应于诊断；列支持、反对及未获得证据。</w:t>
      </w:r>
    </w:p>
    <w:p>
      <w:bookmarkStart w:id="101" w:name="sec101"/>
      <w:pPr>
        <w:pStyle w:val="Heading3"/>
      </w:pPr>
      <w:r>
        <w:t>13 鉴别诊断</w:t>
      </w:r>
      <w:bookmarkEnd w:id="101"/>
    </w:p>
    <w:p>
      <w:r>
        <w:t>缺铁失血、溶血、营养、骨髓病、炎症和药物。对本例逐项说明支持、反对及下一步，不机械宣称排除。</w:t>
      </w:r>
    </w:p>
    <w:p>
      <w:bookmarkStart w:id="103" w:name="sec103"/>
      <w:pPr>
        <w:pStyle w:val="Heading3"/>
      </w:pPr>
      <w:r>
        <w:t>14 分型与分期</w:t>
      </w:r>
      <w:bookmarkEnd w:id="103"/>
    </w:p>
    <w:p>
      <w:r>
        <w:t>症状风险、透析与否、输血和移植致敏风险分别评价。无完整变量不补分型、评分或风险百分数。</w:t>
      </w:r>
    </w:p>
    <w:p>
      <w:bookmarkStart w:id="105" w:name="sec105"/>
      <w:pPr>
        <w:pStyle w:val="Heading3"/>
      </w:pPr>
      <w:r>
        <w:t>15 危险分层</w:t>
      </w:r>
      <w:bookmarkEnd w:id="105"/>
    </w:p>
    <w:p>
      <w:r>
        <w:t>血压升高、血栓、感染、铁负荷及输血致敏。潜在风险与已经发生的并发症分开。</w:t>
      </w:r>
    </w:p>
    <w:p>
      <w:bookmarkStart w:id="107" w:name="sec107"/>
      <w:pPr>
        <w:pStyle w:val="Heading3"/>
      </w:pPr>
      <w:r>
        <w:t>16 肾功能动态评价</w:t>
      </w:r>
      <w:bookmarkEnd w:id="107"/>
    </w:p>
    <w:p>
      <w:r>
        <w:t>Hb、网织红细胞、铁蛋白TSAT和肾功能，必要时B12叶酸溶血等；透析后降低、尿量受利尿影响、跨日基线均说明限制。</w:t>
      </w:r>
    </w:p>
    <w:p>
      <w:bookmarkStart w:id="109" w:name="sec109"/>
      <w:pPr>
        <w:pStyle w:val="Heading3"/>
      </w:pPr>
      <w:r>
        <w:t>17 治疗原则</w:t>
      </w:r>
      <w:bookmarkEnd w:id="109"/>
    </w:p>
    <w:p>
      <w:r>
        <w:t>按2026指南评估铁、ESA等适用性；剂量以医师和说明书为准。医师建议、已开处方和实际执行分别表达。</w:t>
      </w:r>
    </w:p>
    <w:p>
      <w:bookmarkStart w:id="111" w:name="sec111"/>
      <w:pPr>
        <w:pStyle w:val="Heading3"/>
      </w:pPr>
      <w:r>
        <w:t>18 肾脏替代或特殊治疗评估</w:t>
      </w:r>
      <w:bookmarkEnd w:id="111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113" w:name="sec113"/>
      <w:pPr>
        <w:pStyle w:val="Heading3"/>
      </w:pPr>
      <w:r>
        <w:t>19 药物管理</w:t>
      </w:r>
      <w:bookmarkEnd w:id="113"/>
    </w:p>
    <w:p>
      <w:r>
        <w:t>按2026指南评估铁、ESA等适用性；剂量以医师和说明书为准；核肾功能适用、感染出血及停复。真实剂量途径频次来自医嘱和执行，不由AI补造。</w:t>
      </w:r>
    </w:p>
    <w:p>
      <w:bookmarkStart w:id="115" w:name="sec115"/>
      <w:pPr>
        <w:pStyle w:val="Heading3"/>
      </w:pPr>
      <w:r>
        <w:t>20 并发症</w:t>
      </w:r>
      <w:bookmarkEnd w:id="115"/>
    </w:p>
    <w:p>
      <w:r>
        <w:t>血压升高、血栓、感染、铁负荷及输血致敏。若出现异常转06，记录事件时刻、实际措施及复评。</w:t>
      </w:r>
    </w:p>
    <w:p>
      <w:bookmarkStart w:id="117" w:name="sec117"/>
      <w:pPr>
        <w:pStyle w:val="Heading3"/>
      </w:pPr>
      <w:r>
        <w:t>21 首次病程</w:t>
      </w:r>
      <w:bookmarkEnd w:id="117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鉴别诊断：【针对本例缺铁失血、溶血、营养、骨髓病、炎症和药物的支持反对】</w:t>
      </w:r>
    </w:p>
    <w:p>
      <w:pPr>
        <w:keepNext/>
        <w:keepLines/>
        <w:spacing w:after="0" w:line="252" w:lineRule="auto"/>
      </w:pPr>
      <w:r>
        <w:t>风险及计划：【真实医师对血压升高、血栓、感染、铁负荷及输血致敏的评估及安排】。</w:t>
      </w:r>
    </w:p>
    <w:p>
      <w:r>
        <w:t>```</w:t>
      </w:r>
    </w:p>
    <w:p>
      <w:bookmarkStart w:id="119" w:name="sec119"/>
      <w:pPr>
        <w:pStyle w:val="Heading3"/>
      </w:pPr>
      <w:r>
        <w:t>22 日常病程</w:t>
      </w:r>
      <w:bookmarkEnd w:id="119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贫血貌、血压、心衰及出血线索相关的当次实查】，检查【实际日期及Hb、网织红细胞、铁蛋白TSAT和肾功能，必要时B12叶酸溶血等的结果】。目前【诊断确定度和真实阶段】，已实施【治疗执行与反应】，后续【围绕Hb变化及铁状态，治疗后按真实计划复查与调整的真实计划】。</w:t>
      </w:r>
    </w:p>
    <w:p>
      <w:r>
        <w:t>```</w:t>
      </w:r>
    </w:p>
    <w:p>
      <w:bookmarkStart w:id="121" w:name="sec121"/>
      <w:pPr>
        <w:pStyle w:val="Heading3"/>
      </w:pPr>
      <w:r>
        <w:t>23 主治医师查房</w:t>
      </w:r>
      <w:bookmarkEnd w:id="121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Hb、网织红细胞、铁蛋白TSAT和肾功能，必要时B12叶酸溶血等、尿量容量及实际治疗执行的真实意见】，后续【近期监测】。</w:t>
      </w:r>
    </w:p>
    <w:p>
      <w:r>
        <w:t>```</w:t>
      </w:r>
    </w:p>
    <w:p>
      <w:bookmarkStart w:id="123" w:name="sec123"/>
      <w:pPr>
        <w:pStyle w:val="Heading3"/>
      </w:pPr>
      <w:r>
        <w:t>24 副主任医师查房</w:t>
      </w:r>
      <w:bookmarkEnd w:id="123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贫血诊断与肾性归因分开；先核可逆原因与缺铁失血、溶血、营养、骨髓病、炎症和药物的真实复核，及治疗优化意见】，下一步【真实计划】。</w:t>
      </w:r>
    </w:p>
    <w:p>
      <w:r>
        <w:t>```</w:t>
      </w:r>
    </w:p>
    <w:p>
      <w:bookmarkStart w:id="125" w:name="sec125"/>
      <w:pPr>
        <w:pStyle w:val="Heading3"/>
      </w:pPr>
      <w:r>
        <w:t>25 主任医师查房</w:t>
      </w:r>
      <w:bookmarkEnd w:id="125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CKD相关贫血的复杂证据、按2026指南评估铁、ESA等适用性；剂量以医师和说明书为准的重大权衡及血压升高、血栓、感染、铁负荷及输血致敏与长期预后】，后续【真实决策】。</w:t>
      </w:r>
    </w:p>
    <w:p>
      <w:r>
        <w:t>```</w:t>
      </w:r>
    </w:p>
    <w:p>
      <w:bookmarkStart w:id="127" w:name="sec127"/>
      <w:pPr>
        <w:pStyle w:val="Heading3"/>
      </w:pPr>
      <w:r>
        <w:t>26 特殊操作前后病程</w:t>
      </w:r>
      <w:bookmarkEnd w:id="127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129" w:name="sec129"/>
      <w:pPr>
        <w:pStyle w:val="Heading3"/>
      </w:pPr>
      <w:r>
        <w:t>27 治疗调整病程</w:t>
      </w:r>
      <w:bookmarkEnd w:id="129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针对【实际问题和变化】，医师决定【有关按2026指南评估铁、ESA等适用性；剂量以医师和说明书为准的真实调整】，医嘱【状态】，实际执行【来源】，反应及停复【事实】，后续【真实复查安排】。</w:t>
      </w:r>
    </w:p>
    <w:p>
      <w:r>
        <w:t>```</w:t>
      </w:r>
    </w:p>
    <w:p>
      <w:bookmarkStart w:id="131" w:name="sec131"/>
      <w:pPr>
        <w:pStyle w:val="Heading3"/>
      </w:pPr>
      <w:r>
        <w:t>28 异常病程</w:t>
      </w:r>
      <w:bookmarkEnd w:id="131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血压升高、血栓、感染、铁负荷及输血致敏相关的判断及确定度】，已采取【实际措施时间】，复评【结果】，后续【现场团队安排】。</w:t>
      </w:r>
    </w:p>
    <w:p>
      <w:r>
        <w:t>```</w:t>
      </w:r>
    </w:p>
    <w:p>
      <w:bookmarkStart w:id="133" w:name="sec133"/>
      <w:pPr>
        <w:pStyle w:val="Heading3"/>
      </w:pPr>
      <w:r>
        <w:t>29 出院记录</w:t>
      </w:r>
      <w:bookmarkEnd w:id="133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诊疗经过：【CKD相关贫血证据演变及每次实际治疗】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出院计划：【真实带药、治疗与Hb变化及铁状态，治疗后按真实计划复查与调整】。</w:t>
      </w:r>
    </w:p>
    <w:p>
      <w:r>
        <w:t>```</w:t>
      </w:r>
    </w:p>
    <w:p>
      <w:bookmarkStart w:id="135" w:name="sec135"/>
      <w:pPr>
        <w:pStyle w:val="Heading3"/>
      </w:pPr>
      <w:r>
        <w:t>30 出院医嘱</w:t>
      </w:r>
      <w:bookmarkEnd w:id="135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复查及待回报：【围绕Hb变化及铁状态，治疗后按真实计划复查与调整的实际日期项目责任】</w:t>
      </w:r>
    </w:p>
    <w:p>
      <w:pPr>
        <w:keepNext/>
        <w:keepLines/>
        <w:spacing w:after="0" w:line="252" w:lineRule="auto"/>
      </w:pPr>
      <w:r>
        <w:t>警示症状：【与血压升高、血栓、感染、铁负荷及输血致敏相关且已真实交代的内容】。</w:t>
      </w:r>
    </w:p>
    <w:p>
      <w:r>
        <w:t>```</w:t>
      </w:r>
    </w:p>
    <w:p>
      <w:bookmarkStart w:id="137" w:name="sec137"/>
      <w:pPr>
        <w:pStyle w:val="Heading3"/>
      </w:pPr>
      <w:r>
        <w:t>31 长期随访</w:t>
      </w:r>
      <w:bookmarkEnd w:id="137"/>
    </w:p>
    <w:p>
      <w:r>
        <w:t>Hb变化及铁状态，治疗后按真实计划复查与调整。记录真实预约和实际完成，不把计划写完成。</w:t>
      </w:r>
    </w:p>
    <w:p>
      <w:bookmarkStart w:id="139" w:name="sec139"/>
      <w:pPr>
        <w:pStyle w:val="Heading3"/>
      </w:pPr>
      <w:r>
        <w:t>32 最终质控</w:t>
      </w:r>
      <w:bookmarkEnd w:id="139"/>
    </w:p>
    <w:p>
      <w:r>
        <w:t>贫血诊断与肾性归因分开；先核可逆原因；核每次诊断、检查可知时间、实际执行和骨髓或肾病理无普遍常规要求，跨科依据实际指征的证据边界，按10终审。</w:t>
      </w:r>
    </w:p>
    <w:p>
      <w:bookmarkStart w:id="141" w:name="sec141"/>
      <w:pPr>
        <w:pStyle w:val="Heading3"/>
      </w:pPr>
      <w:r>
        <w:t>33 参考指南与版本</w:t>
      </w:r>
      <w:bookmarkEnd w:id="141"/>
    </w:p>
    <w:p>
      <w:r>
        <w:t>采用文末R05、R07、R12、R10的相应正式版本和适用人群。主路径是文书组织，不将所有提示宣称为指南分级推荐；具体推荐及药物使用需实际查原文和本院规范。</w:t>
      </w:r>
    </w:p>
    <w:p>
      <w:bookmarkStart w:id="143" w:name="sec143"/>
      <w:pPr>
        <w:pStyle w:val="Heading1"/>
      </w:pPr>
      <w:r>
        <w:t>CKD矿物质骨代谢异常 的33项路径</w:t>
      </w:r>
      <w:bookmarkEnd w:id="143"/>
    </w:p>
    <w:p>
      <w:bookmarkStart w:id="144" w:name="sec144"/>
      <w:pPr>
        <w:pStyle w:val="Heading3"/>
      </w:pPr>
      <w:r>
        <w:t>01 疾病定义</w:t>
      </w:r>
      <w:bookmarkEnd w:id="144"/>
    </w:p>
    <w:p>
      <w:r>
        <w:t>CKD相关钙磷PTH及骨血管异常谱，并非单一高磷</w:t>
      </w:r>
    </w:p>
    <w:p>
      <w:bookmarkStart w:id="146" w:name="sec146"/>
      <w:pPr>
        <w:pStyle w:val="Heading3"/>
      </w:pPr>
      <w:r>
        <w:t>02 病因与机制</w:t>
      </w:r>
      <w:bookmarkEnd w:id="146"/>
    </w:p>
    <w:p>
      <w:r>
        <w:t>磷排泄、维生素D代谢及PTH调节失衡参与骨和血管改变；血清指标与实际骨组织类型并非一一对应。</w:t>
      </w:r>
    </w:p>
    <w:p>
      <w:bookmarkStart w:id="148" w:name="sec148"/>
      <w:pPr>
        <w:pStyle w:val="Heading3"/>
      </w:pPr>
      <w:r>
        <w:t>03 临床表现</w:t>
      </w:r>
      <w:bookmarkEnd w:id="148"/>
    </w:p>
    <w:p>
      <w:r>
        <w:t>可无特异症状，也可有骨痛、骨折、瘙痒或肌无力，需与其他原因区分。这些是知识范围，不能自动写成患者已有事实。</w:t>
      </w:r>
    </w:p>
    <w:p>
      <w:bookmarkStart w:id="150" w:name="sec150"/>
      <w:pPr>
        <w:pStyle w:val="Heading3"/>
      </w:pPr>
      <w:r>
        <w:t>04 病史采集</w:t>
      </w:r>
      <w:bookmarkEnd w:id="150"/>
    </w:p>
    <w:p>
      <w:r>
        <w:t>骨痛瘙痒骨折、饮食、结合剂维生素D及既往PTH趋势；核发生时间、既往日期、真实治疗与反应及信息来源。</w:t>
      </w:r>
    </w:p>
    <w:p>
      <w:bookmarkStart w:id="152" w:name="sec152"/>
      <w:pPr>
        <w:pStyle w:val="Heading3"/>
      </w:pPr>
      <w:r>
        <w:t>05 专科查体</w:t>
      </w:r>
      <w:bookmarkEnd w:id="152"/>
    </w:p>
    <w:p>
      <w:r>
        <w:t>骨痛体征、肌力、营养和容量。只写当次实际实施项目。</w:t>
      </w:r>
    </w:p>
    <w:p>
      <w:bookmarkStart w:id="154" w:name="sec154"/>
      <w:pPr>
        <w:pStyle w:val="Heading3"/>
      </w:pPr>
      <w:r>
        <w:t>06 尿液检验</w:t>
      </w:r>
      <w:bookmarkEnd w:id="154"/>
    </w:p>
    <w:p>
      <w:r>
        <w:t>残余肾功能和蛋白尿按整体背景。标本和统计窗口注明，未测不写阴性。</w:t>
      </w:r>
    </w:p>
    <w:p>
      <w:bookmarkStart w:id="156" w:name="sec156"/>
      <w:pPr>
        <w:pStyle w:val="Heading3"/>
      </w:pPr>
      <w:r>
        <w:t>07 肾功能和电解质</w:t>
      </w:r>
      <w:bookmarkEnd w:id="156"/>
    </w:p>
    <w:p>
      <w:r>
        <w:t>钙磷PTH碱性磷酸酶与维生素D分别时间单位，必要时离子钙。注意采样与RRT时序，不混单位和公式。</w:t>
      </w:r>
    </w:p>
    <w:p>
      <w:bookmarkStart w:id="158" w:name="sec158"/>
      <w:pPr>
        <w:pStyle w:val="Heading3"/>
      </w:pPr>
      <w:r>
        <w:t>08 影像</w:t>
      </w:r>
      <w:bookmarkEnd w:id="158"/>
    </w:p>
    <w:p>
      <w:r>
        <w:t>骨折骨密度和钙化检查按实际决策。报告原文与临床分析分开。</w:t>
      </w:r>
    </w:p>
    <w:p>
      <w:bookmarkStart w:id="160" w:name="sec160"/>
      <w:pPr>
        <w:pStyle w:val="Heading3"/>
      </w:pPr>
      <w:r>
        <w:t>09 免疫与病因检查</w:t>
      </w:r>
      <w:bookmarkEnd w:id="160"/>
    </w:p>
    <w:p>
      <w:r>
        <w:t>非典型病因和其他内分泌问题按线索。申请不证明结果已回。</w:t>
      </w:r>
    </w:p>
    <w:p>
      <w:bookmarkStart w:id="162" w:name="sec162"/>
      <w:pPr>
        <w:pStyle w:val="Heading3"/>
      </w:pPr>
      <w:r>
        <w:t>10 病理或替代性专科证据</w:t>
      </w:r>
      <w:bookmarkEnd w:id="162"/>
    </w:p>
    <w:p>
      <w:r>
        <w:t>骨活检仅实际适用时，不能由PTH推断确切骨组织类型。按实际适用性替换，不强迫不必要操作。</w:t>
      </w:r>
    </w:p>
    <w:p>
      <w:bookmarkStart w:id="164" w:name="sec164"/>
      <w:pPr>
        <w:pStyle w:val="Heading3"/>
      </w:pPr>
      <w:r>
        <w:t>11 诊断标准</w:t>
      </w:r>
      <w:bookmarkEnd w:id="164"/>
    </w:p>
    <w:p>
      <w:r>
        <w:t>依连续综合评估，不按单次PTH直接诊断病理性骨型。标准不完整时保持待明确，不用模板强行确诊。</w:t>
      </w:r>
    </w:p>
    <w:p>
      <w:bookmarkStart w:id="166" w:name="sec166"/>
      <w:pPr>
        <w:pStyle w:val="Heading3"/>
      </w:pPr>
      <w:r>
        <w:t>12 诊断依据</w:t>
      </w:r>
      <w:bookmarkEnd w:id="166"/>
    </w:p>
    <w:p>
      <w:r>
        <w:t>将本患者关于残余肾功能和蛋白尿按整体背景、钙磷PTH碱性磷酸酶与维生素D分别时间单位，必要时离子钙及相关病史逐项对应于诊断；列支持、反对及未获得证据。</w:t>
      </w:r>
    </w:p>
    <w:p>
      <w:bookmarkStart w:id="168" w:name="sec168"/>
      <w:pPr>
        <w:pStyle w:val="Heading3"/>
      </w:pPr>
      <w:r>
        <w:t>13 鉴别诊断</w:t>
      </w:r>
      <w:bookmarkEnd w:id="168"/>
    </w:p>
    <w:p>
      <w:r>
        <w:t>原发甲旁亢、营养性缺乏、恶性肿瘤及药物影响。对本例逐项说明支持、反对及下一步，不机械宣称排除。</w:t>
      </w:r>
    </w:p>
    <w:p>
      <w:bookmarkStart w:id="170" w:name="sec170"/>
      <w:pPr>
        <w:pStyle w:val="Heading3"/>
      </w:pPr>
      <w:r>
        <w:t>14 分型与分期</w:t>
      </w:r>
      <w:bookmarkEnd w:id="170"/>
    </w:p>
    <w:p>
      <w:r>
        <w:t>CKD阶段、骨折及钙化风险，PTH趋势与检测法。无完整变量不补分型、评分或风险百分数。</w:t>
      </w:r>
    </w:p>
    <w:p>
      <w:bookmarkStart w:id="172" w:name="sec172"/>
      <w:pPr>
        <w:pStyle w:val="Heading3"/>
      </w:pPr>
      <w:r>
        <w:t>15 危险分层</w:t>
      </w:r>
      <w:bookmarkEnd w:id="172"/>
    </w:p>
    <w:p>
      <w:r>
        <w:t>高低钙、骨折、血管钙化和治疗不耐受。潜在风险与已经发生的并发症分开。</w:t>
      </w:r>
    </w:p>
    <w:p>
      <w:bookmarkStart w:id="174" w:name="sec174"/>
      <w:pPr>
        <w:pStyle w:val="Heading3"/>
      </w:pPr>
      <w:r>
        <w:t>16 肾功能动态评价</w:t>
      </w:r>
      <w:bookmarkEnd w:id="174"/>
    </w:p>
    <w:p>
      <w:r>
        <w:t>钙磷PTH碱性磷酸酶与维生素D分别时间单位，必要时离子钙；透析后降低、尿量受利尿影响、跨日基线均说明限制。</w:t>
      </w:r>
    </w:p>
    <w:p>
      <w:bookmarkStart w:id="176" w:name="sec176"/>
      <w:pPr>
        <w:pStyle w:val="Heading3"/>
      </w:pPr>
      <w:r>
        <w:t>17 治疗原则</w:t>
      </w:r>
      <w:bookmarkEnd w:id="176"/>
    </w:p>
    <w:p>
      <w:r>
        <w:t>饮食磷与营养权衡、结合剂及PTH相关治疗依真实医师决定。医师建议、已开处方和实际执行分别表达。</w:t>
      </w:r>
    </w:p>
    <w:p>
      <w:bookmarkStart w:id="178" w:name="sec178"/>
      <w:pPr>
        <w:pStyle w:val="Heading3"/>
      </w:pPr>
      <w:r>
        <w:t>18 肾脏替代或特殊治疗评估</w:t>
      </w:r>
      <w:bookmarkEnd w:id="178"/>
    </w:p>
    <w:p>
      <w:r>
        <w:t>评估当前容量、钾、酸碱及尿毒症等器官危险和治疗目标，由真实团队决定方式及时机；仅肌酐升高不自动触发透析。对已在RRT者核每次执行和残肾；特殊人群由相应团队协作。</w:t>
      </w:r>
    </w:p>
    <w:p>
      <w:bookmarkStart w:id="180" w:name="sec180"/>
      <w:pPr>
        <w:pStyle w:val="Heading3"/>
      </w:pPr>
      <w:r>
        <w:t>19 药物管理</w:t>
      </w:r>
      <w:bookmarkEnd w:id="180"/>
    </w:p>
    <w:p>
      <w:r>
        <w:t>饮食磷与营养权衡、结合剂及PTH相关治疗依真实医师决定；核肾功能适用、感染出血及停复。真实剂量途径频次来自医嘱和执行，不由AI补造。</w:t>
      </w:r>
    </w:p>
    <w:p>
      <w:bookmarkStart w:id="182" w:name="sec182"/>
      <w:pPr>
        <w:pStyle w:val="Heading3"/>
      </w:pPr>
      <w:r>
        <w:t>20 并发症</w:t>
      </w:r>
      <w:bookmarkEnd w:id="182"/>
    </w:p>
    <w:p>
      <w:r>
        <w:t>高低钙、骨折、血管钙化和治疗不耐受。若出现异常转06，记录事件时刻、实际措施及复评。</w:t>
      </w:r>
    </w:p>
    <w:p>
      <w:bookmarkStart w:id="184" w:name="sec184"/>
      <w:pPr>
        <w:pStyle w:val="Heading3"/>
      </w:pPr>
      <w:r>
        <w:t>21 首次病程</w:t>
      </w:r>
      <w:bookmarkEnd w:id="184"/>
    </w:p>
    <w:p>
      <w:pPr>
        <w:keepNext/>
      </w:pPr>
      <w:r>
        <w:t>【真实记录日期及时间】 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病例特点：【本例病史、实查和检查】</w:t>
      </w:r>
    </w:p>
    <w:p>
      <w:pPr>
        <w:keepNext/>
        <w:keepLines/>
        <w:spacing w:after="0" w:line="252" w:lineRule="auto"/>
      </w:pPr>
      <w:r>
        <w:t>初步诊断及依据：【满足本路径标准的真实项目与缺口】</w:t>
      </w:r>
    </w:p>
    <w:p>
      <w:pPr>
        <w:keepNext/>
        <w:keepLines/>
        <w:spacing w:after="0" w:line="252" w:lineRule="auto"/>
      </w:pPr>
      <w:r>
        <w:t>鉴别诊断：【针对本例原发甲旁亢、营养性缺乏、恶性肿瘤及药物影响的支持反对】</w:t>
      </w:r>
    </w:p>
    <w:p>
      <w:pPr>
        <w:keepNext/>
        <w:keepLines/>
        <w:spacing w:after="0" w:line="252" w:lineRule="auto"/>
      </w:pPr>
      <w:r>
        <w:t>风险及计划：【真实医师对高低钙、骨折、血管钙化和治疗不耐受的评估及安排】。</w:t>
      </w:r>
    </w:p>
    <w:p>
      <w:r>
        <w:t>```</w:t>
      </w:r>
    </w:p>
    <w:p>
      <w:bookmarkStart w:id="186" w:name="sec186"/>
      <w:pPr>
        <w:pStyle w:val="Heading3"/>
      </w:pPr>
      <w:r>
        <w:t>22 日常病程</w:t>
      </w:r>
      <w:bookmarkEnd w:id="186"/>
    </w:p>
    <w:p>
      <w:pPr>
        <w:keepNext/>
      </w:pPr>
      <w:r>
        <w:t>【真实记录日期及时间】 日常病程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真实变化】，查体【与骨痛体征、肌力、营养和容量相关的当次实查】，检查【实际日期及钙磷PTH碱性磷酸酶与维生素D分别时间单位，必要时离子钙的结果】。目前【诊断确定度和真实阶段】，已实施【治疗执行与反应】，后续【围绕复查钙磷PTH及实际用药，非所有CKD同一限制饮食的真实计划】。</w:t>
      </w:r>
    </w:p>
    <w:p>
      <w:r>
        <w:t>```</w:t>
      </w:r>
    </w:p>
    <w:p>
      <w:bookmarkStart w:id="188" w:name="sec188"/>
      <w:pPr>
        <w:pStyle w:val="Heading3"/>
      </w:pPr>
      <w:r>
        <w:t>23 主治医师查房</w:t>
      </w:r>
      <w:bookmarkEnd w:id="188"/>
    </w:p>
    <w:p>
      <w:pPr>
        <w:keepNext/>
      </w:pPr>
      <w:r>
        <w:t>【真实记录日期及时间】 主治医师查房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】，实查及检查【当次资料】。主治医师分析【当日钙磷PTH碱性磷酸酶与维生素D分别时间单位，必要时离子钙、尿量容量及实际治疗执行的真实意见】，后续【近期监测】。</w:t>
      </w:r>
    </w:p>
    <w:p>
      <w:r>
        <w:t>```</w:t>
      </w:r>
    </w:p>
    <w:p>
      <w:bookmarkStart w:id="190" w:name="sec190"/>
      <w:pPr>
        <w:pStyle w:val="Heading3"/>
      </w:pPr>
      <w:r>
        <w:t>24 副主任医师查房</w:t>
      </w:r>
      <w:bookmarkEnd w:id="190"/>
    </w:p>
    <w:p>
      <w:pPr>
        <w:keepNext/>
      </w:pPr>
      <w:r>
        <w:t>【真实记录日期及时间】 副主任医师查房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变化】，检查及实查【资料】。副主任医师分析【对依连续综合评估，不按单次PTH直接诊断病理性骨型与原发甲旁亢、营养性缺乏、恶性肿瘤及药物影响的真实复核，及治疗优化意见】，下一步【真实计划】。</w:t>
      </w:r>
    </w:p>
    <w:p>
      <w:r>
        <w:t>```</w:t>
      </w:r>
    </w:p>
    <w:p>
      <w:bookmarkStart w:id="192" w:name="sec192"/>
      <w:pPr>
        <w:pStyle w:val="Heading3"/>
      </w:pPr>
      <w:r>
        <w:t>25 主任医师查房</w:t>
      </w:r>
      <w:bookmarkEnd w:id="192"/>
    </w:p>
    <w:p>
      <w:pPr>
        <w:keepNext/>
      </w:pPr>
      <w:r>
        <w:t>【真实记录日期及时间】 主任医师查房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病情】，实查和检查【资料】。主任医师分析【本例CKD矿物质骨代谢异常的复杂证据、饮食磷与营养权衡、结合剂及PTH相关治疗依真实医师决定的重大权衡及高低钙、骨折、血管钙化和治疗不耐受与长期预后】，后续【真实决策】。</w:t>
      </w:r>
    </w:p>
    <w:p>
      <w:r>
        <w:t>```</w:t>
      </w:r>
    </w:p>
    <w:p>
      <w:bookmarkStart w:id="194" w:name="sec194"/>
      <w:pPr>
        <w:pStyle w:val="Heading3"/>
      </w:pPr>
      <w:r>
        <w:t>26 特殊操作前后病程</w:t>
      </w:r>
      <w:bookmarkEnd w:id="194"/>
    </w:p>
    <w:p>
      <w:pPr>
        <w:keepNext/>
      </w:pPr>
      <w:r>
        <w:t>【真实记录日期及时间】 特殊操作前后病程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真实操作或RRT事件】目前【拟定、已开始、完成或中断状态】，依据【实际评估】，操作执行【原始记录】，当前【实测反应】，检查【已回资料】，后续【医师计划】。未实际发生操作时仅记录评估，不生成术后事实。</w:t>
      </w:r>
    </w:p>
    <w:p>
      <w:r>
        <w:t>```</w:t>
      </w:r>
    </w:p>
    <w:p>
      <w:bookmarkStart w:id="196" w:name="sec196"/>
      <w:pPr>
        <w:pStyle w:val="Heading3"/>
      </w:pPr>
      <w:r>
        <w:t>27 治疗调整病程</w:t>
      </w:r>
      <w:bookmarkEnd w:id="196"/>
    </w:p>
    <w:p>
      <w:pPr>
        <w:keepNext/>
      </w:pPr>
      <w:r>
        <w:t>【真实记录日期及时间】 治疗调整病程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针对【实际问题和变化】，医师决定【有关饮食磷与营养权衡、结合剂及PTH相关治疗依真实医师决定的真实调整】，医嘱【状态】，实际执行【来源】，反应及停复【事实】，后续【真实复查安排】。</w:t>
      </w:r>
    </w:p>
    <w:p>
      <w:r>
        <w:t>```</w:t>
      </w:r>
    </w:p>
    <w:p>
      <w:bookmarkStart w:id="198" w:name="sec198"/>
      <w:pPr>
        <w:pStyle w:val="Heading3"/>
      </w:pPr>
      <w:r>
        <w:t>28 异常病程</w:t>
      </w:r>
      <w:bookmarkEnd w:id="198"/>
    </w:p>
    <w:p>
      <w:pPr>
        <w:keepNext/>
      </w:pPr>
      <w:r>
        <w:t>【真实记录日期及时间】 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于【真实时点】发生【症状或异常】，当时【生命体征和关键检查】，考虑【与高低钙、骨折、血管钙化和治疗不耐受相关的判断及确定度】，已采取【实际措施时间】，复评【结果】，后续【现场团队安排】。</w:t>
      </w:r>
    </w:p>
    <w:p>
      <w:r>
        <w:t>```</w:t>
      </w:r>
    </w:p>
    <w:p>
      <w:bookmarkStart w:id="200" w:name="sec200"/>
      <w:pPr>
        <w:pStyle w:val="Heading3"/>
      </w:pPr>
      <w:r>
        <w:t>29 出院记录</w:t>
      </w:r>
      <w:bookmarkEnd w:id="200"/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入院情况：【真实内容】</w:t>
      </w:r>
    </w:p>
    <w:p>
      <w:pPr>
        <w:keepNext/>
        <w:keepLines/>
        <w:spacing w:after="0" w:line="252" w:lineRule="auto"/>
      </w:pPr>
      <w:r>
        <w:t>诊疗经过：【CKD矿物质骨代谢异常证据演变及每次实际治疗】</w:t>
      </w:r>
    </w:p>
    <w:p>
      <w:pPr>
        <w:keepNext/>
        <w:keepLines/>
        <w:spacing w:after="0" w:line="252" w:lineRule="auto"/>
      </w:pPr>
      <w:r>
        <w:t>出院诊断：【确定度和最终依据】</w:t>
      </w:r>
    </w:p>
    <w:p>
      <w:pPr>
        <w:keepNext/>
        <w:keepLines/>
        <w:spacing w:after="0" w:line="252" w:lineRule="auto"/>
      </w:pPr>
      <w:r>
        <w:t>出院情况：【实查肾功能、容量和遗留问题】</w:t>
      </w:r>
    </w:p>
    <w:p>
      <w:pPr>
        <w:keepNext/>
        <w:keepLines/>
        <w:spacing w:after="0" w:line="252" w:lineRule="auto"/>
      </w:pPr>
      <w:r>
        <w:t>出院计划：【真实带药、治疗与复查钙磷PTH及实际用药，非所有CKD同一限制饮食】。</w:t>
      </w:r>
    </w:p>
    <w:p>
      <w:r>
        <w:t>```</w:t>
      </w:r>
    </w:p>
    <w:p>
      <w:bookmarkStart w:id="202" w:name="sec202"/>
      <w:pPr>
        <w:pStyle w:val="Heading3"/>
      </w:pPr>
      <w:r>
        <w:t>30 出院医嘱</w:t>
      </w:r>
      <w:bookmarkEnd w:id="202"/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药物及停复：【真实审核处方和条件】</w:t>
      </w:r>
    </w:p>
    <w:p>
      <w:pPr>
        <w:keepNext/>
        <w:keepLines/>
        <w:spacing w:after="0" w:line="252" w:lineRule="auto"/>
      </w:pPr>
      <w:r>
        <w:t>治疗方式和通路：【适用且已确认安排】</w:t>
      </w:r>
    </w:p>
    <w:p>
      <w:pPr>
        <w:keepNext/>
        <w:keepLines/>
        <w:spacing w:after="0" w:line="252" w:lineRule="auto"/>
      </w:pPr>
      <w:r>
        <w:t>复查及待回报：【围绕复查钙磷PTH及实际用药，非所有CKD同一限制饮食的实际日期项目责任】</w:t>
      </w:r>
    </w:p>
    <w:p>
      <w:pPr>
        <w:keepNext/>
        <w:keepLines/>
        <w:spacing w:after="0" w:line="252" w:lineRule="auto"/>
      </w:pPr>
      <w:r>
        <w:t>警示症状：【与高低钙、骨折、血管钙化和治疗不耐受相关且已真实交代的内容】。</w:t>
      </w:r>
    </w:p>
    <w:p>
      <w:r>
        <w:t>```</w:t>
      </w:r>
    </w:p>
    <w:p>
      <w:bookmarkStart w:id="204" w:name="sec204"/>
      <w:pPr>
        <w:pStyle w:val="Heading3"/>
      </w:pPr>
      <w:r>
        <w:t>31 长期随访</w:t>
      </w:r>
      <w:bookmarkEnd w:id="204"/>
    </w:p>
    <w:p>
      <w:r>
        <w:t>复查钙磷PTH及实际用药，非所有CKD同一限制饮食。记录真实预约和实际完成，不把计划写完成。</w:t>
      </w:r>
    </w:p>
    <w:p>
      <w:bookmarkStart w:id="206" w:name="sec206"/>
      <w:pPr>
        <w:pStyle w:val="Heading3"/>
      </w:pPr>
      <w:r>
        <w:t>32 最终质控</w:t>
      </w:r>
      <w:bookmarkEnd w:id="206"/>
    </w:p>
    <w:p>
      <w:r>
        <w:t>依连续综合评估，不按单次PTH直接诊断病理性骨型；核每次诊断、检查可知时间、实际执行和骨活检仅实际适用时，不能由PTH推断确切骨组织类型的证据边界，按10终审。</w:t>
      </w:r>
    </w:p>
    <w:p>
      <w:bookmarkStart w:id="208" w:name="sec208"/>
      <w:pPr>
        <w:pStyle w:val="Heading3"/>
      </w:pPr>
      <w:r>
        <w:t>33 参考指南与版本</w:t>
      </w:r>
      <w:bookmarkEnd w:id="208"/>
    </w:p>
    <w:p>
      <w:r>
        <w:t>采用文末R05、R07、R12、R10的相应正式版本和适用人群。主路径是文书组织，不将所有提示宣称为指南分级推荐；具体推荐及药物使用需实际查原文和本院规范。</w:t>
      </w:r>
    </w:p>
    <w:p>
      <w:bookmarkStart w:id="210" w:name="sec210"/>
      <w:pPr>
        <w:pStyle w:val="Heading1"/>
      </w:pPr>
      <w:r>
        <w:t>相关疾病和治疗分支的差异化调用</w:t>
      </w:r>
      <w:bookmarkEnd w:id="210"/>
    </w:p>
    <w:p>
      <w:bookmarkStart w:id="211" w:name="sec211"/>
      <w:pPr>
        <w:pStyle w:val="Heading2"/>
      </w:pPr>
      <w:r>
        <w:t>高血压及糖尿病及心血管及心力衰竭</w:t>
      </w:r>
      <w:bookmarkEnd w:id="211"/>
    </w:p>
    <w:p>
      <w:r>
        <w:t>病因与共病分别记录；血压容量、心肾药物适用及低血糖高钾风险各核。 同时继承上述必要资料、文书及真实性合同；仅在该分支确实适用时调用，不把它当已确诊事实。</w:t>
      </w:r>
    </w:p>
    <w:p>
      <w:bookmarkStart w:id="213" w:name="sec213"/>
      <w:pPr>
        <w:pStyle w:val="Heading2"/>
      </w:pPr>
      <w:r>
        <w:t>高钾及酸中毒及容量</w:t>
      </w:r>
      <w:bookmarkEnd w:id="213"/>
    </w:p>
    <w:p>
      <w:r>
        <w:t>临床危险、可逆因素、实际处置及RRT评估，异常指标不是自动透析指令。 同时继承上述必要资料、文书及真实性合同；仅在该分支确实适用时调用，不把它当已确诊事实。</w:t>
      </w:r>
    </w:p>
    <w:p>
      <w:bookmarkStart w:id="215" w:name="sec215"/>
      <w:pPr>
        <w:pStyle w:val="Heading2"/>
      </w:pPr>
      <w:r>
        <w:t>营养及瘙痒</w:t>
      </w:r>
      <w:bookmarkEnd w:id="215"/>
    </w:p>
    <w:p>
      <w:r>
        <w:t>营养状态、蛋白能量消耗和其他病因；透析者与未透析营养策略区别。 同时继承上述必要资料、文书及真实性合同；仅在该分支确实适用时调用，不把它当已确诊事实。</w:t>
      </w:r>
    </w:p>
    <w:p>
      <w:bookmarkStart w:id="217" w:name="sec217"/>
      <w:pPr>
        <w:pStyle w:val="Heading2"/>
      </w:pPr>
      <w:r>
        <w:t>替代及透析及衔接</w:t>
      </w:r>
      <w:bookmarkEnd w:id="217"/>
    </w:p>
    <w:p>
      <w:r>
        <w:t>医师与患者选择、通路准备、实际启动、长期血透腹透及移植评估分别建事件。 同时继承上述必要资料、文书及真实性合同；仅在该分支确实适用时调用，不把它当已确诊事实。</w:t>
      </w:r>
    </w:p>
    <w:p>
      <w:bookmarkStart w:id="219" w:name="sec219"/>
      <w:pPr>
        <w:pStyle w:val="Heading1"/>
      </w:pPr>
      <w:r>
        <w:t>原始需求覆盖索引</w:t>
      </w:r>
      <w:bookmarkEnd w:id="219"/>
    </w:p>
    <w:p>
      <w:r>
        <w:t>1. 慢性肾脏病。</w:t>
      </w:r>
    </w:p>
    <w:p>
      <w:r>
        <w:t>2. CKD病因评估。</w:t>
      </w:r>
    </w:p>
    <w:p>
      <w:r>
        <w:t>3. CKD G1—G5分期。</w:t>
      </w:r>
    </w:p>
    <w:p>
      <w:r>
        <w:t>4. CKD白蛋白尿分层。</w:t>
      </w:r>
    </w:p>
    <w:p>
      <w:r>
        <w:t>5. CKD危险分层。</w:t>
      </w:r>
    </w:p>
    <w:p>
      <w:r>
        <w:t>6. CKD进展。</w:t>
      </w:r>
    </w:p>
    <w:p>
      <w:r>
        <w:t>7. 慢性肾衰竭。</w:t>
      </w:r>
    </w:p>
    <w:p>
      <w:r>
        <w:t>8. 肾衰竭需要肾脏替代治疗相关病例。</w:t>
      </w:r>
    </w:p>
    <w:p>
      <w:r>
        <w:t>9. CKD合并高血压。</w:t>
      </w:r>
    </w:p>
    <w:p>
      <w:r>
        <w:t>10. CKD合并糖尿病。</w:t>
      </w:r>
    </w:p>
    <w:p>
      <w:r>
        <w:t>11. CKD合并心血管疾病。</w:t>
      </w:r>
    </w:p>
    <w:p>
      <w:r>
        <w:t>12. CKD合并心力衰竭。</w:t>
      </w:r>
    </w:p>
    <w:p>
      <w:r>
        <w:t>13. CKD合并容量负荷过重。</w:t>
      </w:r>
    </w:p>
    <w:p>
      <w:r>
        <w:t>14. CKD合并高钾血症。</w:t>
      </w:r>
    </w:p>
    <w:p>
      <w:r>
        <w:t>15. CKD合并代谢性酸中毒。</w:t>
      </w:r>
    </w:p>
    <w:p>
      <w:r>
        <w:t>16. 肾性贫血。</w:t>
      </w:r>
    </w:p>
    <w:p>
      <w:r>
        <w:t>17. CKD-MBD。</w:t>
      </w:r>
    </w:p>
    <w:p>
      <w:r>
        <w:t>18. 继发性甲状旁腺功能亢进。</w:t>
      </w:r>
    </w:p>
    <w:p>
      <w:r>
        <w:t>19. CKD相关营养异常。</w:t>
      </w:r>
    </w:p>
    <w:p>
      <w:r>
        <w:t>20. CKD相关瘙痒及其他症状。</w:t>
      </w:r>
    </w:p>
    <w:p>
      <w:r>
        <w:t>21. 肾脏替代治疗准备。</w:t>
      </w:r>
    </w:p>
    <w:p>
      <w:r>
        <w:t>22. 透析方式选择及衔接。</w:t>
      </w:r>
    </w:p>
    <w:p>
      <w:r>
        <w:t>23. CKD长期随访。</w:t>
      </w:r>
    </w:p>
    <w:p>
      <w:bookmarkStart w:id="243" w:name="sec243"/>
      <w:pPr>
        <w:pStyle w:val="Heading1"/>
      </w:pPr>
      <w:r>
        <w:t>虚构病例与完整示范</w:t>
      </w:r>
      <w:bookmarkEnd w:id="243"/>
    </w:p>
    <w:p>
      <w:r>
        <w:t>以下为虚构病例，不进入真实患者事实。输入：N06/E1；慢性证据明确，eGFR42，ACR350mg/g。</w:t>
      </w:r>
    </w:p>
    <w:p>
      <w:pPr>
        <w:keepNext/>
      </w:pPr>
      <w:r>
        <w:t>2026年10月29日 09:00 CKD的G与A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既有资料证实慢性肾脏病，当前eGFR42 mL/min/1.73m²、尿ACR350 mg/g，对应G3bA3。病因及总体风险仍须结合临床和其他检查评估。</w:t>
      </w:r>
    </w:p>
    <w:p>
      <w:r>
        <w:t>```</w:t>
      </w:r>
    </w:p>
    <w:p>
      <w:r>
        <w:t>核查重点：形成示例正文；必保留事实：G3bA3、350。详见10静态模拟案例6。</w:t>
      </w:r>
    </w:p>
    <w:p>
      <w:bookmarkStart w:id="247" w:name="sec247"/>
      <w:pPr>
        <w:pStyle w:val="Heading1"/>
      </w:pPr>
      <w:r>
        <w:t>真实性边界与常见错误</w:t>
      </w:r>
      <w:bookmarkEnd w:id="247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251" w:name="sec251"/>
      <w:pPr>
        <w:pStyle w:val="Heading1"/>
      </w:pPr>
      <w:r>
        <w:t>最终核对及协同</w:t>
      </w:r>
      <w:bookmarkEnd w:id="251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265" w:name="sec265"/>
      <w:pPr>
        <w:pStyle w:val="Heading1"/>
      </w:pPr>
      <w:r>
        <w:t>参考依据与版本维护</w:t>
      </w:r>
      <w:bookmarkEnd w:id="265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[R07] Anemia in CKD。KDIGO，2026正式。适用：成人儿童CKD含透析和移植贫血。核验日期2026年10月29日；核验范围为发布状态及本模块引用规则，不代表所有推荐已逐条审查。</w:t>
      </w:r>
    </w:p>
    <w:p>
      <w:r>
        <w:t>https://kdigo.org/guidelines/anemia-in-ckd/</w:t>
      </w:r>
    </w:p>
    <w:p>
      <w:r>
        <w:t>[R12] CKD Mineral and Bone Disorder。KDIGO，2017正式更新。适用：CKD相关骨矿物质异常。核验日期2026年10月29日；核验范围为发布状态及本模块引用规则，不代表所有推荐已逐条审查。</w:t>
      </w:r>
    </w:p>
    <w:p>
      <w:r>
        <w:t>https://kdigo.org/guidelines/ckd-mbd/</w:t>
      </w:r>
    </w:p>
    <w:p>
      <w:r>
        <w:t>[R10] Diabetes Management in CKD。KDIGO，2022正式。适用：糖尿病合并CKD。核验日期2026年10月29日；核验范围为发布状态及本模块引用规则，不代表所有推荐已逐条审查。</w:t>
      </w:r>
    </w:p>
    <w:p>
      <w:r>
        <w:t>https://kdigo.org/guidelines/diabetes-ckd/</w:t>
      </w:r>
    </w:p>
    <w:p>
      <w:r>
        <w:t>[R22] 中国肾性贫血诊治临床实践指南。中国医师协会肾脏内科医师分会指南工作组，2021正式发表；本次仅核题录与摘要。适用：肾性贫血；具体推荐须核全文。核验日期2026年10月29日；核验范围为发布状态及本模块引用规则，不代表所有推荐已逐条审查。</w:t>
      </w:r>
    </w:p>
    <w:p>
      <w:r>
        <w:t>https://cs.medjournals.cn/cn/toc/57744</w:t>
      </w:r>
    </w:p>
    <w:p>
      <w:r>
        <w:t>[R23] 维持性血液透析合并肾性贫血临床管理中国专家共识。中国研究型医院学会血液净化专业委员会等，2026正式发表；本次仅核期刊题录与摘要。适用：维持性血透贫血。核验日期2026年10月29日；核验范围为发布状态及本模块引用规则，不代表所有推荐已逐条审查。</w:t>
      </w:r>
    </w:p>
    <w:p>
      <w:r>
        <w:t>https://www.cjbp.org.cn/CN/Y2026/V25/I05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102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