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原发性肾小球疾病肾病综合征及肾穿刺病理模板库</w:t>
      </w:r>
    </w:p>
    <w:p>
      <w:r>
        <w:t>肾内科 AI 病历书写系统 V1.0</w:t>
      </w:r>
    </w:p>
    <w:p>
      <w:r>
        <w:t>第三级模块  医师审核用规则与模板</w:t>
      </w:r>
    </w:p>
    <w:p>
      <w:r>
        <w:t>编制及来源核验 2026年10月29日</w:t>
      </w:r>
    </w:p>
    <w:p>
      <w:r>
        <w:t>专病知识、诊断边界及33项连续文书主路径，并用差异分支覆盖相关病种。</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诊断及版本基线</w:t>
        </w:r>
      </w:hyperlink>
    </w:p>
    <w:p>
      <w:hyperlink w:anchor="sec8">
        <w:r>
          <w:t>肾病综合征及微小病变和FSGS评估 的33项路径</w:t>
        </w:r>
      </w:hyperlink>
    </w:p>
    <w:p>
      <w:hyperlink w:anchor="sec75">
        <w:r>
          <w:t>IgA肾病 的33项路径</w:t>
        </w:r>
      </w:hyperlink>
    </w:p>
    <w:p>
      <w:hyperlink w:anchor="sec142">
        <w:r>
          <w:t>膜性肾病 的33项路径</w:t>
        </w:r>
      </w:hyperlink>
    </w:p>
    <w:p>
      <w:hyperlink w:anchor="sec209">
        <w:r>
          <w:t>相关疾病和治疗分支的差异化调用</w:t>
        </w:r>
      </w:hyperlink>
    </w:p>
    <w:p>
      <w:hyperlink w:anchor="sec220">
        <w:r>
          <w:t>原始需求覆盖索引</w:t>
        </w:r>
      </w:hyperlink>
    </w:p>
    <w:p>
      <w:hyperlink w:anchor="sec239">
        <w:r>
          <w:t>虚构病例与完整示范</w:t>
        </w:r>
      </w:hyperlink>
    </w:p>
    <w:p>
      <w:hyperlink w:anchor="sec243">
        <w:r>
          <w:t>真实性边界与常见错误</w:t>
        </w:r>
      </w:hyperlink>
    </w:p>
    <w:p>
      <w:hyperlink w:anchor="sec247">
        <w:r>
          <w:t>最终核对及协同</w:t>
        </w:r>
      </w:hyperlink>
    </w:p>
    <w:p>
      <w:hyperlink w:anchor="sec261">
        <w:r>
          <w:t>参考依据与版本维护</w:t>
        </w:r>
      </w:hyperlink>
    </w:p>
    <w:p>
      <w:r>
        <w:br w:type="page"/>
      </w:r>
    </w:p>
    <w:p>
      <w:bookmarkStart w:id="0" w:name="sec0"/>
      <w:pPr>
        <w:pStyle w:val="Heading1"/>
      </w:pPr>
      <w:r>
        <w:t>模块使用说明</w:t>
      </w:r>
      <w:bookmarkEnd w:id="0"/>
    </w:p>
    <w:p>
      <w:r>
        <w:t>功能定位：专病知识、诊断边界及33项连续文书主路径，并用差异分支覆盖相关病种。</w:t>
      </w:r>
    </w:p>
    <w:p>
      <w:r>
        <w:t>适用场景与自动调用：识别该领域疾病、综合征、治疗阶段、复发或随访。</w:t>
      </w:r>
    </w:p>
    <w:p>
      <w:r>
        <w:t>必要资料：稳定史、当次肾脏实查及原始尿检肾功能，相关影像免疫病理、治疗及真实意见。</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诊断及版本基线</w:t>
      </w:r>
      <w:bookmarkEnd w:id="6"/>
    </w:p>
    <w:p>
      <w:r>
        <w:t>以下三条主要路径各含33项；同一患者只加载实际相关路径。其他相关病种使用后续差异分支，不把相邻疾病的病理、剂量或风险照搬。知识说明不是患者已有表现。</w:t>
      </w:r>
    </w:p>
    <w:p>
      <w:bookmarkStart w:id="8" w:name="sec8"/>
      <w:pPr>
        <w:pStyle w:val="Heading1"/>
      </w:pPr>
      <w:r>
        <w:t>肾病综合征及微小病变和FSGS评估 的33项路径</w:t>
      </w:r>
      <w:bookmarkEnd w:id="8"/>
    </w:p>
    <w:p>
      <w:bookmarkStart w:id="9" w:name="sec9"/>
      <w:pPr>
        <w:pStyle w:val="Heading3"/>
      </w:pPr>
      <w:r>
        <w:t>01 疾病定义</w:t>
      </w:r>
      <w:bookmarkEnd w:id="9"/>
    </w:p>
    <w:p>
      <w:r>
        <w:t>大量蛋白丢失与低白蛋白为综合征核心；MCD和FSGS是不同病理及病因谱</w:t>
      </w:r>
    </w:p>
    <w:p>
      <w:bookmarkStart w:id="11" w:name="sec11"/>
      <w:pPr>
        <w:pStyle w:val="Heading3"/>
      </w:pPr>
      <w:r>
        <w:t>02 病因与机制</w:t>
      </w:r>
      <w:bookmarkEnd w:id="11"/>
    </w:p>
    <w:p>
      <w:r>
        <w:t>足细胞及滤过屏障异常可致蛋白漏出；MCD与FSGS在形态、原发继发和遗传机制上有差异，低白蛋白及容量分布变化可伴随。</w:t>
      </w:r>
    </w:p>
    <w:p>
      <w:bookmarkStart w:id="13" w:name="sec13"/>
      <w:pPr>
        <w:pStyle w:val="Heading3"/>
      </w:pPr>
      <w:r>
        <w:t>03 临床表现</w:t>
      </w:r>
      <w:bookmarkEnd w:id="13"/>
    </w:p>
    <w:p>
      <w:r>
        <w:t>蛋白尿、水肿、低白蛋白相关表现可见；血尿与肾功能异常程度因病因和阶段不同。这些是知识范围，不能自动写成患者已有事实。</w:t>
      </w:r>
    </w:p>
    <w:p>
      <w:bookmarkStart w:id="15" w:name="sec15"/>
      <w:pPr>
        <w:pStyle w:val="Heading3"/>
      </w:pPr>
      <w:r>
        <w:t>04 病史采集</w:t>
      </w:r>
      <w:bookmarkEnd w:id="15"/>
    </w:p>
    <w:p>
      <w:r>
        <w:t>水肿起病、蛋白定量、感染、药物、家族和复发治疗反应；核发生时间、既往日期、真实治疗与反应及信息来源。</w:t>
      </w:r>
    </w:p>
    <w:p>
      <w:bookmarkStart w:id="17" w:name="sec17"/>
      <w:pPr>
        <w:pStyle w:val="Heading3"/>
      </w:pPr>
      <w:r>
        <w:t>05 专科查体</w:t>
      </w:r>
      <w:bookmarkEnd w:id="17"/>
    </w:p>
    <w:p>
      <w:r>
        <w:t>水肿、容量、血压及感染血栓症状。只写当次实际实施项目。</w:t>
      </w:r>
    </w:p>
    <w:p>
      <w:bookmarkStart w:id="19" w:name="sec19"/>
      <w:pPr>
        <w:pStyle w:val="Heading3"/>
      </w:pPr>
      <w:r>
        <w:t>06 尿液检验</w:t>
      </w:r>
      <w:bookmarkEnd w:id="19"/>
    </w:p>
    <w:p>
      <w:r>
        <w:t>真实定量蛋白和沉渣，留24小时标本完整性。标本和统计窗口注明，未测不写阴性。</w:t>
      </w:r>
    </w:p>
    <w:p>
      <w:bookmarkStart w:id="21" w:name="sec21"/>
      <w:pPr>
        <w:pStyle w:val="Heading3"/>
      </w:pPr>
      <w:r>
        <w:t>07 肾功能和电解质</w:t>
      </w:r>
      <w:bookmarkEnd w:id="21"/>
    </w:p>
    <w:p>
      <w:r>
        <w:t>白蛋白、肌酐、电解质和血脂等按实际检测。注意采样与RRT时序，不混单位和公式。</w:t>
      </w:r>
    </w:p>
    <w:p>
      <w:bookmarkStart w:id="23" w:name="sec23"/>
      <w:pPr>
        <w:pStyle w:val="Heading3"/>
      </w:pPr>
      <w:r>
        <w:t>08 影像</w:t>
      </w:r>
      <w:bookmarkEnd w:id="23"/>
    </w:p>
    <w:p>
      <w:r>
        <w:t>肾影像用于结构和并发症，不确定病理类型。报告原文与临床分析分开。</w:t>
      </w:r>
    </w:p>
    <w:p>
      <w:bookmarkStart w:id="25" w:name="sec25"/>
      <w:pPr>
        <w:pStyle w:val="Heading3"/>
      </w:pPr>
      <w:r>
        <w:t>09 免疫与病因检查</w:t>
      </w:r>
      <w:bookmarkEnd w:id="25"/>
    </w:p>
    <w:p>
      <w:r>
        <w:t>按继发病因、感染及免疫线索选择。申请不证明结果已回。</w:t>
      </w:r>
    </w:p>
    <w:p>
      <w:bookmarkStart w:id="27" w:name="sec27"/>
      <w:pPr>
        <w:pStyle w:val="Heading3"/>
      </w:pPr>
      <w:r>
        <w:t>10 病理或替代性专科证据</w:t>
      </w:r>
      <w:bookmarkEnd w:id="27"/>
    </w:p>
    <w:p>
      <w:r>
        <w:t>光镜IF和EM综合；FSGS需区分原发、继发及遗传。按实际适用性替换，不强迫不必要操作。</w:t>
      </w:r>
    </w:p>
    <w:p>
      <w:bookmarkStart w:id="29" w:name="sec29"/>
      <w:pPr>
        <w:pStyle w:val="Heading3"/>
      </w:pPr>
      <w:r>
        <w:t>11 诊断标准</w:t>
      </w:r>
      <w:bookmarkEnd w:id="29"/>
    </w:p>
    <w:p>
      <w:r>
        <w:t>低白蛋白不能独自确定综合征；病理和临床病因各有证据。标准不完整时保持待明确，不用模板强行确诊。</w:t>
      </w:r>
    </w:p>
    <w:p>
      <w:bookmarkStart w:id="31" w:name="sec31"/>
      <w:pPr>
        <w:pStyle w:val="Heading3"/>
      </w:pPr>
      <w:r>
        <w:t>12 诊断依据</w:t>
      </w:r>
      <w:bookmarkEnd w:id="31"/>
    </w:p>
    <w:p>
      <w:r>
        <w:t>将本患者关于真实定量蛋白和沉渣，留24小时标本完整性、白蛋白、肌酐、电解质和血脂等按实际检测及相关病史逐项对应于诊断；列支持、反对及未获得证据。</w:t>
      </w:r>
    </w:p>
    <w:p>
      <w:bookmarkStart w:id="33" w:name="sec33"/>
      <w:pPr>
        <w:pStyle w:val="Heading3"/>
      </w:pPr>
      <w:r>
        <w:t>13 鉴别诊断</w:t>
      </w:r>
      <w:bookmarkEnd w:id="33"/>
    </w:p>
    <w:p>
      <w:r>
        <w:t>膜性肾病、糖尿病、淀粉样变、继发FSGS。对本例逐项说明支持、反对及下一步，不机械宣称排除。</w:t>
      </w:r>
    </w:p>
    <w:p>
      <w:bookmarkStart w:id="35" w:name="sec35"/>
      <w:pPr>
        <w:pStyle w:val="Heading3"/>
      </w:pPr>
      <w:r>
        <w:t>14 分型与分期</w:t>
      </w:r>
      <w:bookmarkEnd w:id="35"/>
    </w:p>
    <w:p>
      <w:r>
        <w:t>蛋白负荷、肾功能、低白蛋白与感染血栓风险。无完整变量不补分型、评分或风险百分数。</w:t>
      </w:r>
    </w:p>
    <w:p>
      <w:bookmarkStart w:id="37" w:name="sec37"/>
      <w:pPr>
        <w:pStyle w:val="Heading3"/>
      </w:pPr>
      <w:r>
        <w:t>15 危险分层</w:t>
      </w:r>
      <w:bookmarkEnd w:id="37"/>
    </w:p>
    <w:p>
      <w:r>
        <w:t>血栓、感染、AKI、容量不足或负荷过重。潜在风险与已经发生的并发症分开。</w:t>
      </w:r>
    </w:p>
    <w:p>
      <w:bookmarkStart w:id="39" w:name="sec39"/>
      <w:pPr>
        <w:pStyle w:val="Heading3"/>
      </w:pPr>
      <w:r>
        <w:t>16 肾功能动态评价</w:t>
      </w:r>
      <w:bookmarkEnd w:id="39"/>
    </w:p>
    <w:p>
      <w:r>
        <w:t>白蛋白、肌酐、电解质和血脂等按实际检测；透析后降低、尿量受利尿影响、跨日基线均说明限制。</w:t>
      </w:r>
    </w:p>
    <w:p>
      <w:bookmarkStart w:id="41" w:name="sec41"/>
      <w:pPr>
        <w:pStyle w:val="Heading3"/>
      </w:pPr>
      <w:r>
        <w:t>17 治疗原则</w:t>
      </w:r>
      <w:bookmarkEnd w:id="41"/>
    </w:p>
    <w:p>
      <w:r>
        <w:t>支持与病因治疗并行；是否免疫抑制依病理病因风险。医师建议、已开处方和实际执行分别表达。</w:t>
      </w:r>
    </w:p>
    <w:p>
      <w:bookmarkStart w:id="43" w:name="sec43"/>
      <w:pPr>
        <w:pStyle w:val="Heading3"/>
      </w:pPr>
      <w:r>
        <w:t>18 肾脏替代或特殊治疗评估</w:t>
      </w:r>
      <w:bookmarkEnd w:id="43"/>
    </w:p>
    <w:p>
      <w:r>
        <w:t>评估当前容量、钾、酸碱及尿毒症等器官危险和治疗目标，由真实团队决定方式及时机；仅肌酐升高不自动触发透析。对已在RRT者核每次执行和残肾；特殊人群由相应团队协作。</w:t>
      </w:r>
    </w:p>
    <w:p>
      <w:bookmarkStart w:id="45" w:name="sec45"/>
      <w:pPr>
        <w:pStyle w:val="Heading3"/>
      </w:pPr>
      <w:r>
        <w:t>19 药物管理</w:t>
      </w:r>
      <w:bookmarkEnd w:id="45"/>
    </w:p>
    <w:p>
      <w:r>
        <w:t>支持与病因治疗并行；是否免疫抑制依病理病因风险；核肾功能适用、感染出血及停复。真实剂量途径频次来自医嘱和执行，不由AI补造。</w:t>
      </w:r>
    </w:p>
    <w:p>
      <w:bookmarkStart w:id="47" w:name="sec47"/>
      <w:pPr>
        <w:pStyle w:val="Heading3"/>
      </w:pPr>
      <w:r>
        <w:t>20 并发症</w:t>
      </w:r>
      <w:bookmarkEnd w:id="47"/>
    </w:p>
    <w:p>
      <w:r>
        <w:t>血栓、感染、AKI、容量不足或负荷过重。若出现异常转06，记录事件时刻、实际措施及复评。</w:t>
      </w:r>
    </w:p>
    <w:p>
      <w:bookmarkStart w:id="49" w:name="sec49"/>
      <w:pPr>
        <w:pStyle w:val="Heading3"/>
      </w:pPr>
      <w:r>
        <w:t>21 首次病程</w:t>
      </w:r>
      <w:bookmarkEnd w:id="49"/>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鉴别诊断：【针对本例膜性肾病、糖尿病、淀粉样变、继发FSGS的支持反对】</w:t>
      </w:r>
    </w:p>
    <w:p>
      <w:pPr>
        <w:keepNext/>
        <w:keepLines/>
        <w:spacing w:after="0" w:line="252" w:lineRule="auto"/>
      </w:pPr>
      <w:r>
        <w:t>风险及计划：【真实医师对血栓、感染、AKI、容量不足或负荷过重的评估及安排】。</w:t>
      </w:r>
    </w:p>
    <w:p>
      <w:r>
        <w:t>```</w:t>
      </w:r>
    </w:p>
    <w:p>
      <w:bookmarkStart w:id="51" w:name="sec51"/>
      <w:pPr>
        <w:pStyle w:val="Heading3"/>
      </w:pPr>
      <w:r>
        <w:t>22 日常病程</w:t>
      </w:r>
      <w:bookmarkEnd w:id="51"/>
    </w:p>
    <w:p>
      <w:pPr>
        <w:keepNext/>
      </w:pPr>
      <w:r>
        <w:t>【真实记录日期及时间】 日常病程</w:t>
      </w:r>
    </w:p>
    <w:p>
      <w:pPr>
        <w:keepNext/>
      </w:pPr>
      <w:r>
        <w:t>```text</w:t>
      </w:r>
    </w:p>
    <w:p>
      <w:pPr>
        <w:keepNext/>
        <w:keepLines/>
        <w:spacing w:after="0" w:line="252" w:lineRule="auto"/>
      </w:pPr>
      <w:r>
        <w:t>患者今日【真实变化】，查体【与水肿、容量、血压及感染血栓症状相关的当次实查】，检查【实际日期及白蛋白、肌酐、电解质和血脂等按实际检测的结果】。目前【诊断确定度和真实阶段】，已实施【治疗执行与反应】，后续【围绕定量蛋白、白蛋白、肾功能和实际激素减量方案；复发有定义与证据的真实计划】。</w:t>
      </w:r>
    </w:p>
    <w:p>
      <w:r>
        <w:t>```</w:t>
      </w:r>
    </w:p>
    <w:p>
      <w:bookmarkStart w:id="53" w:name="sec53"/>
      <w:pPr>
        <w:pStyle w:val="Heading3"/>
      </w:pPr>
      <w:r>
        <w:t>23 主治医师查房</w:t>
      </w:r>
      <w:bookmarkEnd w:id="53"/>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今日随【真实姓名】主治医师查房，患者【真实症状】，实查及检查【当次资料】。主治医师分析【当日白蛋白、肌酐、电解质和血脂等按实际检测、尿量容量及实际治疗执行的真实意见】，后续【近期监测】。</w:t>
      </w:r>
    </w:p>
    <w:p>
      <w:r>
        <w:t>```</w:t>
      </w:r>
    </w:p>
    <w:p>
      <w:bookmarkStart w:id="55" w:name="sec55"/>
      <w:pPr>
        <w:pStyle w:val="Heading3"/>
      </w:pPr>
      <w:r>
        <w:t>24 副主任医师查房</w:t>
      </w:r>
      <w:bookmarkEnd w:id="55"/>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低白蛋白不能独自确定综合征；病理和临床病因各有证据与膜性肾病、糖尿病、淀粉样变、继发FSGS的真实复核，及治疗优化意见】，下一步【真实计划】。</w:t>
      </w:r>
    </w:p>
    <w:p>
      <w:r>
        <w:t>```</w:t>
      </w:r>
    </w:p>
    <w:p>
      <w:bookmarkStart w:id="57" w:name="sec57"/>
      <w:pPr>
        <w:pStyle w:val="Heading3"/>
      </w:pPr>
      <w:r>
        <w:t>25 主任医师查房</w:t>
      </w:r>
      <w:bookmarkEnd w:id="57"/>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肾病综合征及微小病变和FSGS评估的复杂证据、支持与病因治疗并行；是否免疫抑制依病理病因风险的重大权衡及血栓、感染、AKI、容量不足或负荷过重与长期预后】，后续【真实决策】。</w:t>
      </w:r>
    </w:p>
    <w:p>
      <w:r>
        <w:t>```</w:t>
      </w:r>
    </w:p>
    <w:p>
      <w:bookmarkStart w:id="59" w:name="sec59"/>
      <w:pPr>
        <w:pStyle w:val="Heading3"/>
      </w:pPr>
      <w:r>
        <w:t>26 特殊操作前后病程</w:t>
      </w:r>
      <w:bookmarkEnd w:id="59"/>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61" w:name="sec61"/>
      <w:pPr>
        <w:pStyle w:val="Heading3"/>
      </w:pPr>
      <w:r>
        <w:t>27 治疗调整病程</w:t>
      </w:r>
      <w:bookmarkEnd w:id="61"/>
    </w:p>
    <w:p>
      <w:pPr>
        <w:keepNext/>
      </w:pPr>
      <w:r>
        <w:t>【真实记录日期及时间】 治疗调整病程</w:t>
      </w:r>
    </w:p>
    <w:p>
      <w:pPr>
        <w:keepNext/>
      </w:pPr>
      <w:r>
        <w:t>```text</w:t>
      </w:r>
    </w:p>
    <w:p>
      <w:pPr>
        <w:keepNext/>
        <w:keepLines/>
        <w:spacing w:after="0" w:line="252" w:lineRule="auto"/>
      </w:pPr>
      <w:r>
        <w:t>针对【实际问题和变化】，医师决定【有关支持与病因治疗并行；是否免疫抑制依病理病因风险的真实调整】，医嘱【状态】，实际执行【来源】，反应及停复【事实】，后续【真实复查安排】。</w:t>
      </w:r>
    </w:p>
    <w:p>
      <w:r>
        <w:t>```</w:t>
      </w:r>
    </w:p>
    <w:p>
      <w:bookmarkStart w:id="63" w:name="sec63"/>
      <w:pPr>
        <w:pStyle w:val="Heading3"/>
      </w:pPr>
      <w:r>
        <w:t>28 异常病程</w:t>
      </w:r>
      <w:bookmarkEnd w:id="63"/>
    </w:p>
    <w:p>
      <w:pPr>
        <w:keepNext/>
      </w:pPr>
      <w:r>
        <w:t>【真实记录日期及时间】 异常病程</w:t>
      </w:r>
    </w:p>
    <w:p>
      <w:pPr>
        <w:keepNext/>
      </w:pPr>
      <w:r>
        <w:t>```text</w:t>
      </w:r>
    </w:p>
    <w:p>
      <w:pPr>
        <w:keepNext/>
        <w:keepLines/>
        <w:spacing w:after="0" w:line="252" w:lineRule="auto"/>
      </w:pPr>
      <w:r>
        <w:t>于【真实时点】发生【症状或异常】，当时【生命体征和关键检查】，考虑【与血栓、感染、AKI、容量不足或负荷过重相关的判断及确定度】，已采取【实际措施时间】，复评【结果】，后续【现场团队安排】。</w:t>
      </w:r>
    </w:p>
    <w:p>
      <w:r>
        <w:t>```</w:t>
      </w:r>
    </w:p>
    <w:p>
      <w:bookmarkStart w:id="65" w:name="sec65"/>
      <w:pPr>
        <w:pStyle w:val="Heading3"/>
      </w:pPr>
      <w:r>
        <w:t>29 出院记录</w:t>
      </w:r>
      <w:bookmarkEnd w:id="65"/>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诊疗经过：【肾病综合征及微小病变和FSGS评估证据演变及每次实际治疗】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出院计划：【真实带药、治疗与定量蛋白、白蛋白、肾功能和实际激素减量方案；复发有定义与证据】。</w:t>
      </w:r>
    </w:p>
    <w:p>
      <w:r>
        <w:t>```</w:t>
      </w:r>
    </w:p>
    <w:p>
      <w:bookmarkStart w:id="67" w:name="sec67"/>
      <w:pPr>
        <w:pStyle w:val="Heading3"/>
      </w:pPr>
      <w:r>
        <w:t>30 出院医嘱</w:t>
      </w:r>
      <w:bookmarkEnd w:id="67"/>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复查及待回报：【围绕定量蛋白、白蛋白、肾功能和实际激素减量方案；复发有定义与证据的实际日期项目责任】</w:t>
      </w:r>
    </w:p>
    <w:p>
      <w:pPr>
        <w:keepNext/>
        <w:keepLines/>
        <w:spacing w:after="0" w:line="252" w:lineRule="auto"/>
      </w:pPr>
      <w:r>
        <w:t>警示症状：【与血栓、感染、AKI、容量不足或负荷过重相关且已真实交代的内容】。</w:t>
      </w:r>
    </w:p>
    <w:p>
      <w:r>
        <w:t>```</w:t>
      </w:r>
    </w:p>
    <w:p>
      <w:bookmarkStart w:id="69" w:name="sec69"/>
      <w:pPr>
        <w:pStyle w:val="Heading3"/>
      </w:pPr>
      <w:r>
        <w:t>31 长期随访</w:t>
      </w:r>
      <w:bookmarkEnd w:id="69"/>
    </w:p>
    <w:p>
      <w:r>
        <w:t>定量蛋白、白蛋白、肾功能和实际激素减量方案；复发有定义与证据。记录真实预约和实际完成，不把计划写完成。</w:t>
      </w:r>
    </w:p>
    <w:p>
      <w:bookmarkStart w:id="71" w:name="sec71"/>
      <w:pPr>
        <w:pStyle w:val="Heading3"/>
      </w:pPr>
      <w:r>
        <w:t>32 最终质控</w:t>
      </w:r>
      <w:bookmarkEnd w:id="71"/>
    </w:p>
    <w:p>
      <w:r>
        <w:t>低白蛋白不能独自确定综合征；病理和临床病因各有证据；核每次诊断、检查可知时间、实际执行和光镜IF和EM综合；FSGS需区分原发、继发及遗传的证据边界，按10终审。</w:t>
      </w:r>
    </w:p>
    <w:p>
      <w:bookmarkStart w:id="73" w:name="sec73"/>
      <w:pPr>
        <w:pStyle w:val="Heading3"/>
      </w:pPr>
      <w:r>
        <w:t>33 参考指南与版本</w:t>
      </w:r>
      <w:bookmarkEnd w:id="73"/>
    </w:p>
    <w:p>
      <w:r>
        <w:t>采用文末R08、R09、R19的相应正式版本和适用人群。主路径是文书组织，不将所有提示宣称为指南分级推荐；具体推荐及药物使用需实际查原文和本院规范。</w:t>
      </w:r>
    </w:p>
    <w:p>
      <w:bookmarkStart w:id="75" w:name="sec75"/>
      <w:pPr>
        <w:pStyle w:val="Heading1"/>
      </w:pPr>
      <w:r>
        <w:t>IgA肾病 的33项路径</w:t>
      </w:r>
      <w:bookmarkEnd w:id="75"/>
    </w:p>
    <w:p>
      <w:bookmarkStart w:id="76" w:name="sec76"/>
      <w:pPr>
        <w:pStyle w:val="Heading3"/>
      </w:pPr>
      <w:r>
        <w:t>01 疾病定义</w:t>
      </w:r>
      <w:bookmarkEnd w:id="76"/>
    </w:p>
    <w:p>
      <w:r>
        <w:t>肾活检证实以IgA为主或共主导沉积的肾小球病，临床与病理整合</w:t>
      </w:r>
    </w:p>
    <w:p>
      <w:bookmarkStart w:id="78" w:name="sec78"/>
      <w:pPr>
        <w:pStyle w:val="Heading3"/>
      </w:pPr>
      <w:r>
        <w:t>02 病因与机制</w:t>
      </w:r>
      <w:bookmarkEnd w:id="78"/>
    </w:p>
    <w:p>
      <w:r>
        <w:t>IgA相关免疫复合物在肾小球沉积并引发炎症与后续损伤，活动性及慢性瘢痕均影响肾功能和蛋白尿。</w:t>
      </w:r>
    </w:p>
    <w:p>
      <w:bookmarkStart w:id="80" w:name="sec80"/>
      <w:pPr>
        <w:pStyle w:val="Heading3"/>
      </w:pPr>
      <w:r>
        <w:t>03 临床表现</w:t>
      </w:r>
      <w:bookmarkEnd w:id="80"/>
    </w:p>
    <w:p>
      <w:r>
        <w:t>镜下或肉眼血尿、蛋白尿及不同程度肾功能异常可见，不能从表现单独确诊病理。这些是知识范围，不能自动写成患者已有事实。</w:t>
      </w:r>
    </w:p>
    <w:p>
      <w:bookmarkStart w:id="82" w:name="sec82"/>
      <w:pPr>
        <w:pStyle w:val="Heading3"/>
      </w:pPr>
      <w:r>
        <w:t>04 病史采集</w:t>
      </w:r>
      <w:bookmarkEnd w:id="82"/>
    </w:p>
    <w:p>
      <w:r>
        <w:t>反复血尿、感染关联、蛋白尿持续、系统紫癜和家族史；核发生时间、既往日期、真实治疗与反应及信息来源。</w:t>
      </w:r>
    </w:p>
    <w:p>
      <w:bookmarkStart w:id="84" w:name="sec84"/>
      <w:pPr>
        <w:pStyle w:val="Heading3"/>
      </w:pPr>
      <w:r>
        <w:t>05 专科查体</w:t>
      </w:r>
      <w:bookmarkEnd w:id="84"/>
    </w:p>
    <w:p>
      <w:r>
        <w:t>血压容量及系统性血管炎体征。只写当次实际实施项目。</w:t>
      </w:r>
    </w:p>
    <w:p>
      <w:bookmarkStart w:id="86" w:name="sec86"/>
      <w:pPr>
        <w:pStyle w:val="Heading3"/>
      </w:pPr>
      <w:r>
        <w:t>06 尿液检验</w:t>
      </w:r>
      <w:bookmarkEnd w:id="86"/>
    </w:p>
    <w:p>
      <w:r>
        <w:t>尿红细胞、蛋白定量及持续性。标本和统计窗口注明，未测不写阴性。</w:t>
      </w:r>
    </w:p>
    <w:p>
      <w:bookmarkStart w:id="88" w:name="sec88"/>
      <w:pPr>
        <w:pStyle w:val="Heading3"/>
      </w:pPr>
      <w:r>
        <w:t>07 肾功能和电解质</w:t>
      </w:r>
      <w:bookmarkEnd w:id="88"/>
    </w:p>
    <w:p>
      <w:r>
        <w:t>eGFR变化及蛋白尿风险，急性血尿相关AKI另评估。注意采样与RRT时序，不混单位和公式。</w:t>
      </w:r>
    </w:p>
    <w:p>
      <w:bookmarkStart w:id="90" w:name="sec90"/>
      <w:pPr>
        <w:pStyle w:val="Heading3"/>
      </w:pPr>
      <w:r>
        <w:t>08 影像</w:t>
      </w:r>
      <w:bookmarkEnd w:id="90"/>
    </w:p>
    <w:p>
      <w:r>
        <w:t>超声用于结构和活检评估，不能确诊IgAN。报告原文与临床分析分开。</w:t>
      </w:r>
    </w:p>
    <w:p>
      <w:bookmarkStart w:id="92" w:name="sec92"/>
      <w:pPr>
        <w:pStyle w:val="Heading3"/>
      </w:pPr>
      <w:r>
        <w:t>09 免疫与病因检查</w:t>
      </w:r>
      <w:bookmarkEnd w:id="92"/>
    </w:p>
    <w:p>
      <w:r>
        <w:t>补体及继发病因评估，血IgA不是确诊替代。申请不证明结果已回。</w:t>
      </w:r>
    </w:p>
    <w:p>
      <w:bookmarkStart w:id="94" w:name="sec94"/>
      <w:pPr>
        <w:pStyle w:val="Heading3"/>
      </w:pPr>
      <w:r>
        <w:t>10 病理或替代性专科证据</w:t>
      </w:r>
      <w:bookmarkEnd w:id="94"/>
    </w:p>
    <w:p>
      <w:r>
        <w:t>取材、光镜IF/EM、Oxford MEST-C依报告不自行评分。按实际适用性替换，不强迫不必要操作。</w:t>
      </w:r>
    </w:p>
    <w:p>
      <w:bookmarkStart w:id="96" w:name="sec96"/>
      <w:pPr>
        <w:pStyle w:val="Heading3"/>
      </w:pPr>
      <w:r>
        <w:t>11 诊断标准</w:t>
      </w:r>
      <w:bookmarkEnd w:id="96"/>
    </w:p>
    <w:p>
      <w:r>
        <w:t>确诊依病理；仅血尿蛋白或血IgA升高不足。标准不完整时保持待明确，不用模板强行确诊。</w:t>
      </w:r>
    </w:p>
    <w:p>
      <w:bookmarkStart w:id="98" w:name="sec98"/>
      <w:pPr>
        <w:pStyle w:val="Heading3"/>
      </w:pPr>
      <w:r>
        <w:t>12 诊断依据</w:t>
      </w:r>
      <w:bookmarkEnd w:id="98"/>
    </w:p>
    <w:p>
      <w:r>
        <w:t>将本患者关于尿红细胞、蛋白定量及持续性、eGFR变化及蛋白尿风险，急性血尿相关AKI另评估及相关病史逐项对应于诊断；列支持、反对及未获得证据。</w:t>
      </w:r>
    </w:p>
    <w:p>
      <w:bookmarkStart w:id="100" w:name="sec100"/>
      <w:pPr>
        <w:pStyle w:val="Heading3"/>
      </w:pPr>
      <w:r>
        <w:t>13 鉴别诊断</w:t>
      </w:r>
      <w:bookmarkEnd w:id="100"/>
    </w:p>
    <w:p>
      <w:r>
        <w:t>IgA血管炎、感染相关IgA沉积、其他肾炎。对本例逐项说明支持、反对及下一步，不机械宣称排除。</w:t>
      </w:r>
    </w:p>
    <w:p>
      <w:bookmarkStart w:id="102" w:name="sec102"/>
      <w:pPr>
        <w:pStyle w:val="Heading3"/>
      </w:pPr>
      <w:r>
        <w:t>14 分型与分期</w:t>
      </w:r>
      <w:bookmarkEnd w:id="102"/>
    </w:p>
    <w:p>
      <w:r>
        <w:t>病理评分与临床风险分别用，模型变量缺失不算。无完整变量不补分型、评分或风险百分数。</w:t>
      </w:r>
    </w:p>
    <w:p>
      <w:bookmarkStart w:id="104" w:name="sec104"/>
      <w:pPr>
        <w:pStyle w:val="Heading3"/>
      </w:pPr>
      <w:r>
        <w:t>15 危险分层</w:t>
      </w:r>
      <w:bookmarkEnd w:id="104"/>
    </w:p>
    <w:p>
      <w:r>
        <w:t>进展CKD、急性恶化及免疫治疗感染。潜在风险与已经发生的并发症分开。</w:t>
      </w:r>
    </w:p>
    <w:p>
      <w:bookmarkStart w:id="106" w:name="sec106"/>
      <w:pPr>
        <w:pStyle w:val="Heading3"/>
      </w:pPr>
      <w:r>
        <w:t>16 肾功能动态评价</w:t>
      </w:r>
      <w:bookmarkEnd w:id="106"/>
    </w:p>
    <w:p>
      <w:r>
        <w:t>eGFR变化及蛋白尿风险，急性血尿相关AKI另评估；透析后降低、尿量受利尿影响、跨日基线均说明限制。</w:t>
      </w:r>
    </w:p>
    <w:p>
      <w:bookmarkStart w:id="108" w:name="sec108"/>
      <w:pPr>
        <w:pStyle w:val="Heading3"/>
      </w:pPr>
      <w:r>
        <w:t>17 治疗原则</w:t>
      </w:r>
      <w:bookmarkEnd w:id="108"/>
    </w:p>
    <w:p>
      <w:r>
        <w:t>依2025正式指南和本地批准适用性评估肾保护及靶向免疫方案。医师建议、已开处方和实际执行分别表达。</w:t>
      </w:r>
    </w:p>
    <w:p>
      <w:bookmarkStart w:id="110" w:name="sec110"/>
      <w:pPr>
        <w:pStyle w:val="Heading3"/>
      </w:pPr>
      <w:r>
        <w:t>18 肾脏替代或特殊治疗评估</w:t>
      </w:r>
      <w:bookmarkEnd w:id="110"/>
    </w:p>
    <w:p>
      <w:r>
        <w:t>评估当前容量、钾、酸碱及尿毒症等器官危险和治疗目标，由真实团队决定方式及时机；仅肌酐升高不自动触发透析。对已在RRT者核每次执行和残肾；特殊人群由相应团队协作。</w:t>
      </w:r>
    </w:p>
    <w:p>
      <w:bookmarkStart w:id="112" w:name="sec112"/>
      <w:pPr>
        <w:pStyle w:val="Heading3"/>
      </w:pPr>
      <w:r>
        <w:t>19 药物管理</w:t>
      </w:r>
      <w:bookmarkEnd w:id="112"/>
    </w:p>
    <w:p>
      <w:r>
        <w:t>依2025正式指南和本地批准适用性评估肾保护及靶向免疫方案；核肾功能适用、感染出血及停复。真实剂量途径频次来自医嘱和执行，不由AI补造。</w:t>
      </w:r>
    </w:p>
    <w:p>
      <w:bookmarkStart w:id="114" w:name="sec114"/>
      <w:pPr>
        <w:pStyle w:val="Heading3"/>
      </w:pPr>
      <w:r>
        <w:t>20 并发症</w:t>
      </w:r>
      <w:bookmarkEnd w:id="114"/>
    </w:p>
    <w:p>
      <w:r>
        <w:t>进展CKD、急性恶化及免疫治疗感染。若出现异常转06，记录事件时刻、实际措施及复评。</w:t>
      </w:r>
    </w:p>
    <w:p>
      <w:bookmarkStart w:id="116" w:name="sec116"/>
      <w:pPr>
        <w:pStyle w:val="Heading3"/>
      </w:pPr>
      <w:r>
        <w:t>21 首次病程</w:t>
      </w:r>
      <w:bookmarkEnd w:id="116"/>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鉴别诊断：【针对本例IgA血管炎、感染相关IgA沉积、其他肾炎的支持反对】</w:t>
      </w:r>
    </w:p>
    <w:p>
      <w:pPr>
        <w:keepNext/>
        <w:keepLines/>
        <w:spacing w:after="0" w:line="252" w:lineRule="auto"/>
      </w:pPr>
      <w:r>
        <w:t>风险及计划：【真实医师对进展CKD、急性恶化及免疫治疗感染的评估及安排】。</w:t>
      </w:r>
    </w:p>
    <w:p>
      <w:r>
        <w:t>```</w:t>
      </w:r>
    </w:p>
    <w:p>
      <w:bookmarkStart w:id="118" w:name="sec118"/>
      <w:pPr>
        <w:pStyle w:val="Heading3"/>
      </w:pPr>
      <w:r>
        <w:t>22 日常病程</w:t>
      </w:r>
      <w:bookmarkEnd w:id="118"/>
    </w:p>
    <w:p>
      <w:pPr>
        <w:keepNext/>
      </w:pPr>
      <w:r>
        <w:t>【真实记录日期及时间】 日常病程</w:t>
      </w:r>
    </w:p>
    <w:p>
      <w:pPr>
        <w:keepNext/>
      </w:pPr>
      <w:r>
        <w:t>```text</w:t>
      </w:r>
    </w:p>
    <w:p>
      <w:pPr>
        <w:keepNext/>
        <w:keepLines/>
        <w:spacing w:after="0" w:line="252" w:lineRule="auto"/>
      </w:pPr>
      <w:r>
        <w:t>患者今日【真实变化】，查体【与血压容量及系统性血管炎体征相关的当次实查】，检查【实际日期及eGFR变化及蛋白尿风险，急性血尿相关AKI另评估的结果】。目前【诊断确定度和真实阶段】，已实施【治疗执行与反应】，后续【围绕血压蛋白尿与eGFR，血尿复发不自动等于病理进展的真实计划】。</w:t>
      </w:r>
    </w:p>
    <w:p>
      <w:r>
        <w:t>```</w:t>
      </w:r>
    </w:p>
    <w:p>
      <w:bookmarkStart w:id="120" w:name="sec120"/>
      <w:pPr>
        <w:pStyle w:val="Heading3"/>
      </w:pPr>
      <w:r>
        <w:t>23 主治医师查房</w:t>
      </w:r>
      <w:bookmarkEnd w:id="120"/>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eGFR变化及蛋白尿风险，急性血尿相关AKI另评估、尿量容量及实际治疗执行的真实意见】，后续【近期监测】。</w:t>
      </w:r>
    </w:p>
    <w:p>
      <w:r>
        <w:t>```</w:t>
      </w:r>
    </w:p>
    <w:p>
      <w:bookmarkStart w:id="122" w:name="sec122"/>
      <w:pPr>
        <w:pStyle w:val="Heading3"/>
      </w:pPr>
      <w:r>
        <w:t>24 副主任医师查房</w:t>
      </w:r>
      <w:bookmarkEnd w:id="122"/>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确诊依病理；仅血尿蛋白或血IgA升高不足与IgA血管炎、感染相关IgA沉积、其他肾炎的真实复核，及治疗优化意见】，下一步【真实计划】。</w:t>
      </w:r>
    </w:p>
    <w:p>
      <w:r>
        <w:t>```</w:t>
      </w:r>
    </w:p>
    <w:p>
      <w:bookmarkStart w:id="124" w:name="sec124"/>
      <w:pPr>
        <w:pStyle w:val="Heading3"/>
      </w:pPr>
      <w:r>
        <w:t>25 主任医师查房</w:t>
      </w:r>
      <w:bookmarkEnd w:id="124"/>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IgA肾病的复杂证据、依2025正式指南和本地批准适用性评估肾保护及靶向免疫方案的重大权衡及进展CKD、急性恶化及免疫治疗感染与长期预后】，后续【真实决策】。</w:t>
      </w:r>
    </w:p>
    <w:p>
      <w:r>
        <w:t>```</w:t>
      </w:r>
    </w:p>
    <w:p>
      <w:bookmarkStart w:id="126" w:name="sec126"/>
      <w:pPr>
        <w:pStyle w:val="Heading3"/>
      </w:pPr>
      <w:r>
        <w:t>26 特殊操作前后病程</w:t>
      </w:r>
      <w:bookmarkEnd w:id="126"/>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28" w:name="sec128"/>
      <w:pPr>
        <w:pStyle w:val="Heading3"/>
      </w:pPr>
      <w:r>
        <w:t>27 治疗调整病程</w:t>
      </w:r>
      <w:bookmarkEnd w:id="128"/>
    </w:p>
    <w:p>
      <w:pPr>
        <w:keepNext/>
      </w:pPr>
      <w:r>
        <w:t>【真实记录日期及时间】 治疗调整病程</w:t>
      </w:r>
    </w:p>
    <w:p>
      <w:pPr>
        <w:keepNext/>
      </w:pPr>
      <w:r>
        <w:t>```text</w:t>
      </w:r>
    </w:p>
    <w:p>
      <w:pPr>
        <w:keepNext/>
        <w:keepLines/>
        <w:spacing w:after="0" w:line="252" w:lineRule="auto"/>
      </w:pPr>
      <w:r>
        <w:t>针对【实际问题和变化】，医师决定【有关依2025正式指南和本地批准适用性评估肾保护及靶向免疫方案的真实调整】，医嘱【状态】，实际执行【来源】，反应及停复【事实】，后续【真实复查安排】。</w:t>
      </w:r>
    </w:p>
    <w:p>
      <w:r>
        <w:t>```</w:t>
      </w:r>
    </w:p>
    <w:p>
      <w:bookmarkStart w:id="130" w:name="sec130"/>
      <w:pPr>
        <w:pStyle w:val="Heading3"/>
      </w:pPr>
      <w:r>
        <w:t>28 异常病程</w:t>
      </w:r>
      <w:bookmarkEnd w:id="130"/>
    </w:p>
    <w:p>
      <w:pPr>
        <w:keepNext/>
      </w:pPr>
      <w:r>
        <w:t>【真实记录日期及时间】 异常病程</w:t>
      </w:r>
    </w:p>
    <w:p>
      <w:pPr>
        <w:keepNext/>
      </w:pPr>
      <w:r>
        <w:t>```text</w:t>
      </w:r>
    </w:p>
    <w:p>
      <w:pPr>
        <w:keepNext/>
        <w:keepLines/>
        <w:spacing w:after="0" w:line="252" w:lineRule="auto"/>
      </w:pPr>
      <w:r>
        <w:t>于【真实时点】发生【症状或异常】，当时【生命体征和关键检查】，考虑【与进展CKD、急性恶化及免疫治疗感染相关的判断及确定度】，已采取【实际措施时间】，复评【结果】，后续【现场团队安排】。</w:t>
      </w:r>
    </w:p>
    <w:p>
      <w:r>
        <w:t>```</w:t>
      </w:r>
    </w:p>
    <w:p>
      <w:bookmarkStart w:id="132" w:name="sec132"/>
      <w:pPr>
        <w:pStyle w:val="Heading3"/>
      </w:pPr>
      <w:r>
        <w:t>29 出院记录</w:t>
      </w:r>
      <w:bookmarkEnd w:id="132"/>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诊疗经过：【IgA肾病证据演变及每次实际治疗】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出院计划：【真实带药、治疗与血压蛋白尿与eGFR，血尿复发不自动等于病理进展】。</w:t>
      </w:r>
    </w:p>
    <w:p>
      <w:r>
        <w:t>```</w:t>
      </w:r>
    </w:p>
    <w:p>
      <w:bookmarkStart w:id="134" w:name="sec134"/>
      <w:pPr>
        <w:pStyle w:val="Heading3"/>
      </w:pPr>
      <w:r>
        <w:t>30 出院医嘱</w:t>
      </w:r>
      <w:bookmarkEnd w:id="134"/>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复查及待回报：【围绕血压蛋白尿与eGFR，血尿复发不自动等于病理进展的实际日期项目责任】</w:t>
      </w:r>
    </w:p>
    <w:p>
      <w:pPr>
        <w:keepNext/>
        <w:keepLines/>
        <w:spacing w:after="0" w:line="252" w:lineRule="auto"/>
      </w:pPr>
      <w:r>
        <w:t>警示症状：【与进展CKD、急性恶化及免疫治疗感染相关且已真实交代的内容】。</w:t>
      </w:r>
    </w:p>
    <w:p>
      <w:r>
        <w:t>```</w:t>
      </w:r>
    </w:p>
    <w:p>
      <w:bookmarkStart w:id="136" w:name="sec136"/>
      <w:pPr>
        <w:pStyle w:val="Heading3"/>
      </w:pPr>
      <w:r>
        <w:t>31 长期随访</w:t>
      </w:r>
      <w:bookmarkEnd w:id="136"/>
    </w:p>
    <w:p>
      <w:r>
        <w:t>血压蛋白尿与eGFR，血尿复发不自动等于病理进展。记录真实预约和实际完成，不把计划写完成。</w:t>
      </w:r>
    </w:p>
    <w:p>
      <w:bookmarkStart w:id="138" w:name="sec138"/>
      <w:pPr>
        <w:pStyle w:val="Heading3"/>
      </w:pPr>
      <w:r>
        <w:t>32 最终质控</w:t>
      </w:r>
      <w:bookmarkEnd w:id="138"/>
    </w:p>
    <w:p>
      <w:r>
        <w:t>确诊依病理；仅血尿蛋白或血IgA升高不足；核每次诊断、检查可知时间、实际执行和取材、光镜IF/EM、Oxford MEST-C依报告不自行评分的证据边界，按10终审。</w:t>
      </w:r>
    </w:p>
    <w:p>
      <w:bookmarkStart w:id="140" w:name="sec140"/>
      <w:pPr>
        <w:pStyle w:val="Heading3"/>
      </w:pPr>
      <w:r>
        <w:t>33 参考指南与版本</w:t>
      </w:r>
      <w:bookmarkEnd w:id="140"/>
    </w:p>
    <w:p>
      <w:r>
        <w:t>采用文末R08、R09、R19的相应正式版本和适用人群。主路径是文书组织，不将所有提示宣称为指南分级推荐；具体推荐及药物使用需实际查原文和本院规范。</w:t>
      </w:r>
    </w:p>
    <w:p>
      <w:bookmarkStart w:id="142" w:name="sec142"/>
      <w:pPr>
        <w:pStyle w:val="Heading1"/>
      </w:pPr>
      <w:r>
        <w:t>膜性肾病 的33项路径</w:t>
      </w:r>
      <w:bookmarkEnd w:id="142"/>
    </w:p>
    <w:p>
      <w:bookmarkStart w:id="143" w:name="sec143"/>
      <w:pPr>
        <w:pStyle w:val="Heading3"/>
      </w:pPr>
      <w:r>
        <w:t>01 疾病定义</w:t>
      </w:r>
      <w:bookmarkEnd w:id="143"/>
    </w:p>
    <w:p>
      <w:r>
        <w:t>肾小球基底膜外侧免疫沉积相关疾病，病因与风险需整合</w:t>
      </w:r>
    </w:p>
    <w:p>
      <w:bookmarkStart w:id="145" w:name="sec145"/>
      <w:pPr>
        <w:pStyle w:val="Heading3"/>
      </w:pPr>
      <w:r>
        <w:t>02 病因与机制</w:t>
      </w:r>
      <w:bookmarkEnd w:id="145"/>
    </w:p>
    <w:p>
      <w:r>
        <w:t>免疫相关上皮下沉积与足细胞损伤导致蛋白尿；抗原及继发因素不同，临床与免疫反应的时间变化可不一致。</w:t>
      </w:r>
    </w:p>
    <w:p>
      <w:bookmarkStart w:id="147" w:name="sec147"/>
      <w:pPr>
        <w:pStyle w:val="Heading3"/>
      </w:pPr>
      <w:r>
        <w:t>03 临床表现</w:t>
      </w:r>
      <w:bookmarkEnd w:id="147"/>
    </w:p>
    <w:p>
      <w:r>
        <w:t>可表现为大量蛋白尿和水肿，也可较隐匿；血栓或感染等并发症不能仅按风险自动填写。这些是知识范围，不能自动写成患者已有事实。</w:t>
      </w:r>
    </w:p>
    <w:p>
      <w:bookmarkStart w:id="149" w:name="sec149"/>
      <w:pPr>
        <w:pStyle w:val="Heading3"/>
      </w:pPr>
      <w:r>
        <w:t>04 病史采集</w:t>
      </w:r>
      <w:bookmarkEnd w:id="149"/>
    </w:p>
    <w:p>
      <w:r>
        <w:t>水肿、血栓风险、药物感染肿瘤及自身免疫背景；核发生时间、既往日期、真实治疗与反应及信息来源。</w:t>
      </w:r>
    </w:p>
    <w:p>
      <w:bookmarkStart w:id="151" w:name="sec151"/>
      <w:pPr>
        <w:pStyle w:val="Heading3"/>
      </w:pPr>
      <w:r>
        <w:t>05 专科查体</w:t>
      </w:r>
      <w:bookmarkEnd w:id="151"/>
    </w:p>
    <w:p>
      <w:r>
        <w:t>容量、水肿、血栓或感染线索。只写当次实际实施项目。</w:t>
      </w:r>
    </w:p>
    <w:p>
      <w:bookmarkStart w:id="153" w:name="sec153"/>
      <w:pPr>
        <w:pStyle w:val="Heading3"/>
      </w:pPr>
      <w:r>
        <w:t>06 尿液检验</w:t>
      </w:r>
      <w:bookmarkEnd w:id="153"/>
    </w:p>
    <w:p>
      <w:r>
        <w:t>蛋白定量和沉渣。标本和统计窗口注明，未测不写阴性。</w:t>
      </w:r>
    </w:p>
    <w:p>
      <w:bookmarkStart w:id="155" w:name="sec155"/>
      <w:pPr>
        <w:pStyle w:val="Heading3"/>
      </w:pPr>
      <w:r>
        <w:t>07 肾功能和电解质</w:t>
      </w:r>
      <w:bookmarkEnd w:id="155"/>
    </w:p>
    <w:p>
      <w:r>
        <w:t>白蛋白肾功能、电解质和治疗前状态。注意采样与RRT时序，不混单位和公式。</w:t>
      </w:r>
    </w:p>
    <w:p>
      <w:bookmarkStart w:id="157" w:name="sec157"/>
      <w:pPr>
        <w:pStyle w:val="Heading3"/>
      </w:pPr>
      <w:r>
        <w:t>08 影像</w:t>
      </w:r>
      <w:bookmarkEnd w:id="157"/>
    </w:p>
    <w:p>
      <w:r>
        <w:t>按病因或血栓线索选择影像，不能把一般筛查写已做。报告原文与临床分析分开。</w:t>
      </w:r>
    </w:p>
    <w:p>
      <w:bookmarkStart w:id="159" w:name="sec159"/>
      <w:pPr>
        <w:pStyle w:val="Heading3"/>
      </w:pPr>
      <w:r>
        <w:t>09 免疫与病因检查</w:t>
      </w:r>
      <w:bookmarkEnd w:id="159"/>
    </w:p>
    <w:p>
      <w:r>
        <w:t>PLA2R等结果保留方法和滴度，继发病因按临床评估。申请不证明结果已回。</w:t>
      </w:r>
    </w:p>
    <w:p>
      <w:bookmarkStart w:id="161" w:name="sec161"/>
      <w:pPr>
        <w:pStyle w:val="Heading3"/>
      </w:pPr>
      <w:r>
        <w:t>10 病理或替代性专科证据</w:t>
      </w:r>
      <w:bookmarkEnd w:id="161"/>
    </w:p>
    <w:p>
      <w:r>
        <w:t>病理及抗原相关证据整合；部分相符病例可按指南评估非活检诊断路径。按实际适用性替换，不强迫不必要操作。</w:t>
      </w:r>
    </w:p>
    <w:p>
      <w:bookmarkStart w:id="163" w:name="sec163"/>
      <w:pPr>
        <w:pStyle w:val="Heading3"/>
      </w:pPr>
      <w:r>
        <w:t>11 诊断标准</w:t>
      </w:r>
      <w:bookmarkEnd w:id="163"/>
    </w:p>
    <w:p>
      <w:r>
        <w:t>不能绝对要求每例必须活检；非典型表现仍须重新核实。标准不完整时保持待明确，不用模板强行确诊。</w:t>
      </w:r>
    </w:p>
    <w:p>
      <w:bookmarkStart w:id="165" w:name="sec165"/>
      <w:pPr>
        <w:pStyle w:val="Heading3"/>
      </w:pPr>
      <w:r>
        <w:t>12 诊断依据</w:t>
      </w:r>
      <w:bookmarkEnd w:id="165"/>
    </w:p>
    <w:p>
      <w:r>
        <w:t>将本患者关于蛋白定量和沉渣、白蛋白肾功能、电解质和治疗前状态及相关病史逐项对应于诊断；列支持、反对及未获得证据。</w:t>
      </w:r>
    </w:p>
    <w:p>
      <w:bookmarkStart w:id="167" w:name="sec167"/>
      <w:pPr>
        <w:pStyle w:val="Heading3"/>
      </w:pPr>
      <w:r>
        <w:t>13 鉴别诊断</w:t>
      </w:r>
      <w:bookmarkEnd w:id="167"/>
    </w:p>
    <w:p>
      <w:r>
        <w:t>狼疮、HBV、药物、肿瘤相关和其他蛋白尿病。对本例逐项说明支持、反对及下一步，不机械宣称排除。</w:t>
      </w:r>
    </w:p>
    <w:p>
      <w:bookmarkStart w:id="169" w:name="sec169"/>
      <w:pPr>
        <w:pStyle w:val="Heading3"/>
      </w:pPr>
      <w:r>
        <w:t>14 分型与分期</w:t>
      </w:r>
      <w:bookmarkEnd w:id="169"/>
    </w:p>
    <w:p>
      <w:r>
        <w:t>持续蛋白尿、白蛋白、eGFR和免疫学信息综合风险。无完整变量不补分型、评分或风险百分数。</w:t>
      </w:r>
    </w:p>
    <w:p>
      <w:bookmarkStart w:id="171" w:name="sec171"/>
      <w:pPr>
        <w:pStyle w:val="Heading3"/>
      </w:pPr>
      <w:r>
        <w:t>15 危险分层</w:t>
      </w:r>
      <w:bookmarkEnd w:id="171"/>
    </w:p>
    <w:p>
      <w:r>
        <w:t>静脉血栓、感染、AKI与免疫治疗毒性。潜在风险与已经发生的并发症分开。</w:t>
      </w:r>
    </w:p>
    <w:p>
      <w:bookmarkStart w:id="173" w:name="sec173"/>
      <w:pPr>
        <w:pStyle w:val="Heading3"/>
      </w:pPr>
      <w:r>
        <w:t>16 肾功能动态评价</w:t>
      </w:r>
      <w:bookmarkEnd w:id="173"/>
    </w:p>
    <w:p>
      <w:r>
        <w:t>白蛋白肾功能、电解质和治疗前状态；透析后降低、尿量受利尿影响、跨日基线均说明限制。</w:t>
      </w:r>
    </w:p>
    <w:p>
      <w:bookmarkStart w:id="175" w:name="sec175"/>
      <w:pPr>
        <w:pStyle w:val="Heading3"/>
      </w:pPr>
      <w:r>
        <w:t>17 治疗原则</w:t>
      </w:r>
      <w:bookmarkEnd w:id="175"/>
    </w:p>
    <w:p>
      <w:r>
        <w:t>支持及风险适配免疫治疗，抗凝权衡出血，不自动开药。医师建议、已开处方和实际执行分别表达。</w:t>
      </w:r>
    </w:p>
    <w:p>
      <w:bookmarkStart w:id="177" w:name="sec177"/>
      <w:pPr>
        <w:pStyle w:val="Heading3"/>
      </w:pPr>
      <w:r>
        <w:t>18 肾脏替代或特殊治疗评估</w:t>
      </w:r>
      <w:bookmarkEnd w:id="177"/>
    </w:p>
    <w:p>
      <w:r>
        <w:t>评估当前容量、钾、酸碱及尿毒症等器官危险和治疗目标，由真实团队决定方式及时机；仅肌酐升高不自动触发透析。对已在RRT者核每次执行和残肾；特殊人群由相应团队协作。</w:t>
      </w:r>
    </w:p>
    <w:p>
      <w:bookmarkStart w:id="179" w:name="sec179"/>
      <w:pPr>
        <w:pStyle w:val="Heading3"/>
      </w:pPr>
      <w:r>
        <w:t>19 药物管理</w:t>
      </w:r>
      <w:bookmarkEnd w:id="179"/>
    </w:p>
    <w:p>
      <w:r>
        <w:t>支持及风险适配免疫治疗，抗凝权衡出血，不自动开药；核肾功能适用、感染出血及停复。真实剂量途径频次来自医嘱和执行，不由AI补造。</w:t>
      </w:r>
    </w:p>
    <w:p>
      <w:bookmarkStart w:id="181" w:name="sec181"/>
      <w:pPr>
        <w:pStyle w:val="Heading3"/>
      </w:pPr>
      <w:r>
        <w:t>20 并发症</w:t>
      </w:r>
      <w:bookmarkEnd w:id="181"/>
    </w:p>
    <w:p>
      <w:r>
        <w:t>静脉血栓、感染、AKI与免疫治疗毒性。若出现异常转06，记录事件时刻、实际措施及复评。</w:t>
      </w:r>
    </w:p>
    <w:p>
      <w:bookmarkStart w:id="183" w:name="sec183"/>
      <w:pPr>
        <w:pStyle w:val="Heading3"/>
      </w:pPr>
      <w:r>
        <w:t>21 首次病程</w:t>
      </w:r>
      <w:bookmarkEnd w:id="183"/>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鉴别诊断：【针对本例狼疮、HBV、药物、肿瘤相关和其他蛋白尿病的支持反对】</w:t>
      </w:r>
    </w:p>
    <w:p>
      <w:pPr>
        <w:keepNext/>
        <w:keepLines/>
        <w:spacing w:after="0" w:line="252" w:lineRule="auto"/>
      </w:pPr>
      <w:r>
        <w:t>风险及计划：【真实医师对静脉血栓、感染、AKI与免疫治疗毒性的评估及安排】。</w:t>
      </w:r>
    </w:p>
    <w:p>
      <w:r>
        <w:t>```</w:t>
      </w:r>
    </w:p>
    <w:p>
      <w:bookmarkStart w:id="185" w:name="sec185"/>
      <w:pPr>
        <w:pStyle w:val="Heading3"/>
      </w:pPr>
      <w:r>
        <w:t>22 日常病程</w:t>
      </w:r>
      <w:bookmarkEnd w:id="185"/>
    </w:p>
    <w:p>
      <w:pPr>
        <w:keepNext/>
      </w:pPr>
      <w:r>
        <w:t>【真实记录日期及时间】 日常病程</w:t>
      </w:r>
    </w:p>
    <w:p>
      <w:pPr>
        <w:keepNext/>
      </w:pPr>
      <w:r>
        <w:t>```text</w:t>
      </w:r>
    </w:p>
    <w:p>
      <w:pPr>
        <w:keepNext/>
        <w:keepLines/>
        <w:spacing w:after="0" w:line="252" w:lineRule="auto"/>
      </w:pPr>
      <w:r>
        <w:t>患者今日【真实变化】，查体【与容量、水肿、血栓或感染线索相关的当次实查】，检查【实际日期及白蛋白肾功能、电解质和治疗前状态的结果】。目前【诊断确定度和真实阶段】，已实施【治疗执行与反应】，后续【围绕临床与免疫学反应可不同步，分别记录日期与实际变化的真实计划】。</w:t>
      </w:r>
    </w:p>
    <w:p>
      <w:r>
        <w:t>```</w:t>
      </w:r>
    </w:p>
    <w:p>
      <w:bookmarkStart w:id="187" w:name="sec187"/>
      <w:pPr>
        <w:pStyle w:val="Heading3"/>
      </w:pPr>
      <w:r>
        <w:t>23 主治医师查房</w:t>
      </w:r>
      <w:bookmarkEnd w:id="187"/>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今日随【真实姓名】主治医师查房，患者【真实症状】，实查及检查【当次资料】。主治医师分析【当日白蛋白肾功能、电解质和治疗前状态、尿量容量及实际治疗执行的真实意见】，后续【近期监测】。</w:t>
      </w:r>
    </w:p>
    <w:p>
      <w:r>
        <w:t>```</w:t>
      </w:r>
    </w:p>
    <w:p>
      <w:bookmarkStart w:id="189" w:name="sec189"/>
      <w:pPr>
        <w:pStyle w:val="Heading3"/>
      </w:pPr>
      <w:r>
        <w:t>24 副主任医师查房</w:t>
      </w:r>
      <w:bookmarkEnd w:id="189"/>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不能绝对要求每例必须活检；非典型表现仍须重新核实与狼疮、HBV、药物、肿瘤相关和其他蛋白尿病的真实复核，及治疗优化意见】，下一步【真实计划】。</w:t>
      </w:r>
    </w:p>
    <w:p>
      <w:r>
        <w:t>```</w:t>
      </w:r>
    </w:p>
    <w:p>
      <w:bookmarkStart w:id="191" w:name="sec191"/>
      <w:pPr>
        <w:pStyle w:val="Heading3"/>
      </w:pPr>
      <w:r>
        <w:t>25 主任医师查房</w:t>
      </w:r>
      <w:bookmarkEnd w:id="191"/>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膜性肾病的复杂证据、支持及风险适配免疫治疗，抗凝权衡出血，不自动开药的重大权衡及静脉血栓、感染、AKI与免疫治疗毒性与长期预后】，后续【真实决策】。</w:t>
      </w:r>
    </w:p>
    <w:p>
      <w:r>
        <w:t>```</w:t>
      </w:r>
    </w:p>
    <w:p>
      <w:bookmarkStart w:id="193" w:name="sec193"/>
      <w:pPr>
        <w:pStyle w:val="Heading3"/>
      </w:pPr>
      <w:r>
        <w:t>26 特殊操作前后病程</w:t>
      </w:r>
      <w:bookmarkEnd w:id="193"/>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95" w:name="sec195"/>
      <w:pPr>
        <w:pStyle w:val="Heading3"/>
      </w:pPr>
      <w:r>
        <w:t>27 治疗调整病程</w:t>
      </w:r>
      <w:bookmarkEnd w:id="195"/>
    </w:p>
    <w:p>
      <w:pPr>
        <w:keepNext/>
      </w:pPr>
      <w:r>
        <w:t>【真实记录日期及时间】 治疗调整病程</w:t>
      </w:r>
    </w:p>
    <w:p>
      <w:pPr>
        <w:keepNext/>
      </w:pPr>
      <w:r>
        <w:t>```text</w:t>
      </w:r>
    </w:p>
    <w:p>
      <w:pPr>
        <w:keepNext/>
        <w:keepLines/>
        <w:spacing w:after="0" w:line="252" w:lineRule="auto"/>
      </w:pPr>
      <w:r>
        <w:t>针对【实际问题和变化】，医师决定【有关支持及风险适配免疫治疗，抗凝权衡出血，不自动开药的真实调整】，医嘱【状态】，实际执行【来源】，反应及停复【事实】，后续【真实复查安排】。</w:t>
      </w:r>
    </w:p>
    <w:p>
      <w:r>
        <w:t>```</w:t>
      </w:r>
    </w:p>
    <w:p>
      <w:bookmarkStart w:id="197" w:name="sec197"/>
      <w:pPr>
        <w:pStyle w:val="Heading3"/>
      </w:pPr>
      <w:r>
        <w:t>28 异常病程</w:t>
      </w:r>
      <w:bookmarkEnd w:id="197"/>
    </w:p>
    <w:p>
      <w:pPr>
        <w:keepNext/>
      </w:pPr>
      <w:r>
        <w:t>【真实记录日期及时间】 异常病程</w:t>
      </w:r>
    </w:p>
    <w:p>
      <w:pPr>
        <w:keepNext/>
      </w:pPr>
      <w:r>
        <w:t>```text</w:t>
      </w:r>
    </w:p>
    <w:p>
      <w:pPr>
        <w:keepNext/>
        <w:keepLines/>
        <w:spacing w:after="0" w:line="252" w:lineRule="auto"/>
      </w:pPr>
      <w:r>
        <w:t>于【真实时点】发生【症状或异常】，当时【生命体征和关键检查】，考虑【与静脉血栓、感染、AKI与免疫治疗毒性相关的判断及确定度】，已采取【实际措施时间】，复评【结果】，后续【现场团队安排】。</w:t>
      </w:r>
    </w:p>
    <w:p>
      <w:r>
        <w:t>```</w:t>
      </w:r>
    </w:p>
    <w:p>
      <w:bookmarkStart w:id="199" w:name="sec199"/>
      <w:pPr>
        <w:pStyle w:val="Heading3"/>
      </w:pPr>
      <w:r>
        <w:t>29 出院记录</w:t>
      </w:r>
      <w:bookmarkEnd w:id="199"/>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诊疗经过：【膜性肾病证据演变及每次实际治疗】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出院计划：【真实带药、治疗与临床与免疫学反应可不同步，分别记录日期与实际变化】。</w:t>
      </w:r>
    </w:p>
    <w:p>
      <w:r>
        <w:t>```</w:t>
      </w:r>
    </w:p>
    <w:p>
      <w:bookmarkStart w:id="201" w:name="sec201"/>
      <w:pPr>
        <w:pStyle w:val="Heading3"/>
      </w:pPr>
      <w:r>
        <w:t>30 出院医嘱</w:t>
      </w:r>
      <w:bookmarkEnd w:id="201"/>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复查及待回报：【围绕临床与免疫学反应可不同步，分别记录日期与实际变化的实际日期项目责任】</w:t>
      </w:r>
    </w:p>
    <w:p>
      <w:pPr>
        <w:keepNext/>
        <w:keepLines/>
        <w:spacing w:after="0" w:line="252" w:lineRule="auto"/>
      </w:pPr>
      <w:r>
        <w:t>警示症状：【与静脉血栓、感染、AKI与免疫治疗毒性相关且已真实交代的内容】。</w:t>
      </w:r>
    </w:p>
    <w:p>
      <w:r>
        <w:t>```</w:t>
      </w:r>
    </w:p>
    <w:p>
      <w:bookmarkStart w:id="203" w:name="sec203"/>
      <w:pPr>
        <w:pStyle w:val="Heading3"/>
      </w:pPr>
      <w:r>
        <w:t>31 长期随访</w:t>
      </w:r>
      <w:bookmarkEnd w:id="203"/>
    </w:p>
    <w:p>
      <w:r>
        <w:t>临床与免疫学反应可不同步，分别记录日期与实际变化。记录真实预约和实际完成，不把计划写完成。</w:t>
      </w:r>
    </w:p>
    <w:p>
      <w:bookmarkStart w:id="205" w:name="sec205"/>
      <w:pPr>
        <w:pStyle w:val="Heading3"/>
      </w:pPr>
      <w:r>
        <w:t>32 最终质控</w:t>
      </w:r>
      <w:bookmarkEnd w:id="205"/>
    </w:p>
    <w:p>
      <w:r>
        <w:t>不能绝对要求每例必须活检；非典型表现仍须重新核实；核每次诊断、检查可知时间、实际执行和病理及抗原相关证据整合；部分相符病例可按指南评估非活检诊断路径的证据边界，按10终审。</w:t>
      </w:r>
    </w:p>
    <w:p>
      <w:bookmarkStart w:id="207" w:name="sec207"/>
      <w:pPr>
        <w:pStyle w:val="Heading3"/>
      </w:pPr>
      <w:r>
        <w:t>33 参考指南与版本</w:t>
      </w:r>
      <w:bookmarkEnd w:id="207"/>
    </w:p>
    <w:p>
      <w:r>
        <w:t>采用文末R08、R09、R19的相应正式版本和适用人群。主路径是文书组织，不将所有提示宣称为指南分级推荐；具体推荐及药物使用需实际查原文和本院规范。</w:t>
      </w:r>
    </w:p>
    <w:p>
      <w:bookmarkStart w:id="209" w:name="sec209"/>
      <w:pPr>
        <w:pStyle w:val="Heading1"/>
      </w:pPr>
      <w:r>
        <w:t>相关疾病和治疗分支的差异化调用</w:t>
      </w:r>
      <w:bookmarkEnd w:id="209"/>
    </w:p>
    <w:p>
      <w:bookmarkStart w:id="210" w:name="sec210"/>
      <w:pPr>
        <w:pStyle w:val="Heading2"/>
      </w:pPr>
      <w:r>
        <w:t>膜增生及C3及感染后</w:t>
      </w:r>
      <w:bookmarkEnd w:id="210"/>
    </w:p>
    <w:p>
      <w:r>
        <w:t>膜增生是形态模式；免疫复合物、补体、感染或单克隆病因分别评估，不用模式代替病因。 同时继承上述必要资料、文书及真实性合同；仅在该分支确实适用时调用，不把它当已确诊事实。</w:t>
      </w:r>
    </w:p>
    <w:p>
      <w:bookmarkStart w:id="212" w:name="sec212"/>
      <w:pPr>
        <w:pStyle w:val="Heading2"/>
      </w:pPr>
      <w:r>
        <w:t>急进</w:t>
      </w:r>
      <w:bookmarkEnd w:id="212"/>
    </w:p>
    <w:p>
      <w:r>
        <w:t>快速变化与临床综合征、免疫病因及病理新月体不完全等同；急评优先并联合104。 同时继承上述必要资料、文书及真实性合同；仅在该分支确实适用时调用，不把它当已确诊事实。</w:t>
      </w:r>
    </w:p>
    <w:p>
      <w:bookmarkStart w:id="214" w:name="sec214"/>
      <w:pPr>
        <w:pStyle w:val="Heading2"/>
      </w:pPr>
      <w:r>
        <w:t>不明原因</w:t>
      </w:r>
      <w:bookmarkEnd w:id="214"/>
    </w:p>
    <w:p>
      <w:r>
        <w:t>蛋白尿或血尿持续性、污染感染结石等鉴别与活检适用性，不先定原发肾炎。 同时继承上述必要资料、文书及真实性合同；仅在该分支确实适用时调用，不把它当已确诊事实。</w:t>
      </w:r>
    </w:p>
    <w:p>
      <w:bookmarkStart w:id="216" w:name="sec216"/>
      <w:pPr>
        <w:pStyle w:val="Heading2"/>
      </w:pPr>
      <w:r>
        <w:t>复发及依赖及抵抗</w:t>
      </w:r>
      <w:bookmarkEnd w:id="216"/>
    </w:p>
    <w:p>
      <w:r>
        <w:t>核药物剂量疗程、依从、先前缓解和复发定义；没有完整暴露不能标激素抵抗。 同时继承上述必要资料、文书及真实性合同；仅在该分支确实适用时调用，不把它当已确诊事实。</w:t>
      </w:r>
    </w:p>
    <w:p>
      <w:bookmarkStart w:id="218" w:name="sec218"/>
      <w:pPr>
        <w:pStyle w:val="Heading2"/>
      </w:pPr>
      <w:r>
        <w:t>长期及免疫</w:t>
      </w:r>
      <w:bookmarkEnd w:id="218"/>
    </w:p>
    <w:p>
      <w:r>
        <w:t>疗效和免疫毒性、感染风险、真实减停药及复查连续。 同时继承上述必要资料、文书及真实性合同；仅在该分支确实适用时调用，不把它当已确诊事实。</w:t>
      </w:r>
    </w:p>
    <w:p>
      <w:bookmarkStart w:id="220" w:name="sec220"/>
      <w:pPr>
        <w:pStyle w:val="Heading1"/>
      </w:pPr>
      <w:r>
        <w:t>原始需求覆盖索引</w:t>
      </w:r>
      <w:bookmarkEnd w:id="220"/>
    </w:p>
    <w:p>
      <w:r>
        <w:t>1. 肾病综合征。</w:t>
      </w:r>
    </w:p>
    <w:p>
      <w:r>
        <w:t>2. 肾炎综合征。</w:t>
      </w:r>
    </w:p>
    <w:p>
      <w:r>
        <w:t>3. IgA肾病。</w:t>
      </w:r>
    </w:p>
    <w:p>
      <w:r>
        <w:t>4. 微小病变病。</w:t>
      </w:r>
    </w:p>
    <w:p>
      <w:r>
        <w:t>5. 膜性肾病。</w:t>
      </w:r>
    </w:p>
    <w:p>
      <w:r>
        <w:t>6. 局灶节段性肾小球硬化。</w:t>
      </w:r>
    </w:p>
    <w:p>
      <w:r>
        <w:t>7. 膜增生性肾小球肾炎相关疾病。</w:t>
      </w:r>
    </w:p>
    <w:p>
      <w:r>
        <w:t>8. C3肾小球病。</w:t>
      </w:r>
    </w:p>
    <w:p>
      <w:r>
        <w:t>9. 感染后肾小球肾炎相关鉴别。</w:t>
      </w:r>
    </w:p>
    <w:p>
      <w:r>
        <w:t>10. 急进性肾小球肾炎综合征。</w:t>
      </w:r>
    </w:p>
    <w:p>
      <w:r>
        <w:t>11. 不明原因蛋白尿。</w:t>
      </w:r>
    </w:p>
    <w:p>
      <w:r>
        <w:t>12. 不明原因血尿。</w:t>
      </w:r>
    </w:p>
    <w:p>
      <w:r>
        <w:t>13. 反复发作肾病综合征。</w:t>
      </w:r>
    </w:p>
    <w:p>
      <w:r>
        <w:t>14. 激素依赖及激素抵抗相关病例。</w:t>
      </w:r>
    </w:p>
    <w:p>
      <w:r>
        <w:t>15. 肾小球病肾穿刺病理分析。</w:t>
      </w:r>
    </w:p>
    <w:p>
      <w:r>
        <w:t>16. 肾小球病免疫抑制治疗。</w:t>
      </w:r>
    </w:p>
    <w:p>
      <w:r>
        <w:t>17. 肾小球病复发。</w:t>
      </w:r>
    </w:p>
    <w:p>
      <w:r>
        <w:t>18. 肾小球病长期随访。</w:t>
      </w:r>
    </w:p>
    <w:p>
      <w:bookmarkStart w:id="239" w:name="sec239"/>
      <w:pPr>
        <w:pStyle w:val="Heading1"/>
      </w:pPr>
      <w:r>
        <w:t>虚构病例与完整示范</w:t>
      </w:r>
      <w:bookmarkEnd w:id="239"/>
    </w:p>
    <w:p>
      <w:r>
        <w:t>以下为虚构病例，不进入真实患者事实。输入：N11/E1；有肉眼血尿、尿蛋白，未活检。</w:t>
      </w:r>
    </w:p>
    <w:p>
      <w:pPr>
        <w:keepNext/>
      </w:pPr>
      <w:r>
        <w:t>2026年10月29日 09:00 IgA首次</w:t>
      </w:r>
    </w:p>
    <w:p>
      <w:pPr>
        <w:keepNext/>
      </w:pPr>
      <w:r>
        <w:t>```text</w:t>
      </w:r>
    </w:p>
    <w:p>
      <w:pPr>
        <w:keepNext/>
        <w:keepLines/>
        <w:spacing w:after="0" w:line="252" w:lineRule="auto"/>
      </w:pPr>
      <w:r>
        <w:t>患者有肉眼血尿及蛋白尿，病因待查。现无肾活检证据，不能据血尿与蛋白尿直接确诊IgA肾病，需按实际临床计划进一步鉴别。</w:t>
      </w:r>
    </w:p>
    <w:p>
      <w:r>
        <w:t>```</w:t>
      </w:r>
    </w:p>
    <w:p>
      <w:r>
        <w:t>核查重点：形成示例正文；必保留事实：待查、不能。详见10静态模拟案例11。</w:t>
      </w:r>
    </w:p>
    <w:p>
      <w:bookmarkStart w:id="243" w:name="sec243"/>
      <w:pPr>
        <w:pStyle w:val="Heading1"/>
      </w:pPr>
      <w:r>
        <w:t>真实性边界与常见错误</w:t>
      </w:r>
      <w:bookmarkEnd w:id="243"/>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47" w:name="sec247"/>
      <w:pPr>
        <w:pStyle w:val="Heading1"/>
      </w:pPr>
      <w:r>
        <w:t>最终核对及协同</w:t>
      </w:r>
      <w:bookmarkEnd w:id="247"/>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61" w:name="sec261"/>
      <w:pPr>
        <w:pStyle w:val="Heading1"/>
      </w:pPr>
      <w:r>
        <w:t>参考依据与版本维护</w:t>
      </w:r>
      <w:bookmarkEnd w:id="261"/>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[R08] IgA Nephropathy and IgA Vasculitis。KDIGO，2025正式。适用：IgAN与IgAV。核验日期2026年10月29日；核验范围为发布状态及本模块引用规则，不代表所有推荐已逐条审查。</w:t>
      </w:r>
    </w:p>
    <w:p>
      <w:r>
        <w:t>https://kdigo.org/guidelines/iga-nephropathy/</w:t>
      </w:r>
    </w:p>
    <w:p>
      <w:r>
        <w:t>[R09] Glomerular Diseases及章节更新。KDIGO，2021正式；LN及ANCA 2024；IgAN 2025覆盖旧章节。适用：肾小球疾病；按疾病章节分开使用。核验日期2026年10月29日；核验范围为发布状态及本模块引用规则，不代表所有推荐已逐条审查。</w:t>
      </w:r>
    </w:p>
    <w:p>
      <w:r>
        <w:t>https://kdigo.org/guidelines/gd/</w:t>
      </w:r>
    </w:p>
    <w:p>
      <w:r>
        <w:t>[R19] Kidney biopsy guideline resources。KHA CARI，2019相关建议。适用：肾穿刺评估和术后观察；本院操作规范优先核对。核验日期2026年10月29日；核验范围为发布状态及本模块引用规则，不代表所有推荐已逐条审查。</w:t>
      </w:r>
    </w:p>
    <w:p>
      <w:r>
        <w:t>https://www.cariguidelines.org/guidelines/chronic-kidney-disease/kidney-biopsy/</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103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