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105 肾小管间质疾病遗传性肾病及肾血管疾病模板库</w:t>
      </w:r>
    </w:p>
    <w:p>
      <w:r>
        <w:t>肾内科 AI 病历书写系统 V1.0</w:t>
      </w:r>
    </w:p>
    <w:p>
      <w:r>
        <w:t>第三级模块  医师审核用规则与模板</w:t>
      </w:r>
    </w:p>
    <w:p>
      <w:r>
        <w:t>编制及来源核验 2026年10月29日</w:t>
      </w:r>
    </w:p>
    <w:p>
      <w:r>
        <w:t>专病知识、诊断边界及33项连续文书主路径，并用差异分支覆盖相关病种。</w:t>
      </w:r>
    </w:p>
    <w:p>
      <w:r>
        <w:t>使用范围：真实病例资料的辅助拟稿、连续病程整理及医师质控。</w:t>
      </w:r>
    </w:p>
    <w:p>
      <w:r>
        <w:t>验证状态：规则与虚构病例验证见10；未经医院真实病例试用和授权医师签署，不作为临床认证声明。</w:t>
      </w:r>
    </w:p>
    <w:p>
      <w:r>
        <w:br w:type="page"/>
      </w:r>
    </w:p>
    <w:p>
      <w:pPr>
        <w:pStyle w:val="Heading1"/>
      </w:pPr>
      <w:r>
        <w:t>目录</w:t>
      </w:r>
    </w:p>
    <w:p>
      <w:hyperlink w:anchor="sec0">
        <w:r>
          <w:t>模块使用说明</w:t>
        </w:r>
      </w:hyperlink>
    </w:p>
    <w:p>
      <w:hyperlink w:anchor="sec6">
        <w:r>
          <w:t>诊断及版本基线</w:t>
        </w:r>
      </w:hyperlink>
    </w:p>
    <w:p>
      <w:hyperlink w:anchor="sec8">
        <w:r>
          <w:t>肾小管间质损伤及急性间质性肾炎 的33项路径</w:t>
        </w:r>
      </w:hyperlink>
    </w:p>
    <w:p>
      <w:hyperlink w:anchor="sec75">
        <w:r>
          <w:t>肾小管酸中毒及遗传性小管病 的33项路径</w:t>
        </w:r>
      </w:hyperlink>
    </w:p>
    <w:p>
      <w:hyperlink w:anchor="sec142">
        <w:r>
          <w:t>ADPKD及遗传性肾病评估 的33项路径</w:t>
        </w:r>
      </w:hyperlink>
    </w:p>
    <w:p>
      <w:hyperlink w:anchor="sec209">
        <w:r>
          <w:t>相关疾病和治疗分支的差异化调用</w:t>
        </w:r>
      </w:hyperlink>
    </w:p>
    <w:p>
      <w:hyperlink w:anchor="sec220">
        <w:r>
          <w:t>原始需求覆盖索引</w:t>
        </w:r>
      </w:hyperlink>
    </w:p>
    <w:p>
      <w:hyperlink w:anchor="sec243">
        <w:r>
          <w:t>虚构病例与完整示范</w:t>
        </w:r>
      </w:hyperlink>
    </w:p>
    <w:p>
      <w:hyperlink w:anchor="sec247">
        <w:r>
          <w:t>真实性边界与常见错误</w:t>
        </w:r>
      </w:hyperlink>
    </w:p>
    <w:p>
      <w:hyperlink w:anchor="sec251">
        <w:r>
          <w:t>最终核对及协同</w:t>
        </w:r>
      </w:hyperlink>
    </w:p>
    <w:p>
      <w:hyperlink w:anchor="sec265">
        <w:r>
          <w:t>参考依据与版本维护</w:t>
        </w:r>
      </w:hyperlink>
    </w:p>
    <w:p>
      <w:r>
        <w:br w:type="page"/>
      </w:r>
    </w:p>
    <w:p>
      <w:bookmarkStart w:id="0" w:name="sec0"/>
      <w:pPr>
        <w:pStyle w:val="Heading1"/>
      </w:pPr>
      <w:r>
        <w:t>模块使用说明</w:t>
      </w:r>
      <w:bookmarkEnd w:id="0"/>
    </w:p>
    <w:p>
      <w:r>
        <w:t>功能定位：专病知识、诊断边界及33项连续文书主路径，并用差异分支覆盖相关病种。</w:t>
      </w:r>
    </w:p>
    <w:p>
      <w:r>
        <w:t>适用场景与自动调用：识别该领域疾病、综合征、治疗阶段、复发或随访。</w:t>
      </w:r>
    </w:p>
    <w:p>
      <w:r>
        <w:t>必要资料：稳定史、当次肾脏实查及原始尿检肾功能，相关影像免疫病理、治疗及真实意见。</w:t>
      </w:r>
    </w:p>
    <w:p>
      <w:r>
        <w:t>每项事实绑定患者及可靠第二标识、本次住院、事件、发生或采样时间、结果可知时间、来源、核验状态。床号不作唯一键。未知、未提供、未做、待回报、冲突、阴性和阳性分别表达。稳定病史可保留日期和来源继承；查体、尿量、肌酐、体重、处方及执行须逐日或逐事件更新。</w:t>
      </w:r>
    </w:p>
    <w:p>
      <w:r>
        <w:t>本库用于具备相应权限的医师审核前拟稿与质控。它是文档规则库，并非已部署电子病历接口、后台调度、患者数据库或自动处方工具。无读取能力时需实际提供相关模块；不同患者和住院资料不得进入通用规则库。模拟结果不替代真实患者前瞻性验证或医院准入。真实诊疗、知情同意、签名及留痕修改按医疗制度完成。</w:t>
      </w:r>
    </w:p>
    <w:p>
      <w:bookmarkStart w:id="6" w:name="sec6"/>
      <w:pPr>
        <w:pStyle w:val="Heading1"/>
      </w:pPr>
      <w:r>
        <w:t>诊断及版本基线</w:t>
      </w:r>
      <w:bookmarkEnd w:id="6"/>
    </w:p>
    <w:p>
      <w:r>
        <w:t>以下三条主要路径各含33项；同一患者只加载实际相关路径。其他相关病种使用后续差异分支，不把相邻疾病的病理、剂量或风险照搬。知识说明不是患者已有表现。</w:t>
      </w:r>
    </w:p>
    <w:p>
      <w:bookmarkStart w:id="8" w:name="sec8"/>
      <w:pPr>
        <w:pStyle w:val="Heading1"/>
      </w:pPr>
      <w:r>
        <w:t>肾小管间质损伤及急性间质性肾炎 的33项路径</w:t>
      </w:r>
      <w:bookmarkEnd w:id="8"/>
    </w:p>
    <w:p>
      <w:bookmarkStart w:id="9" w:name="sec9"/>
      <w:pPr>
        <w:pStyle w:val="Heading3"/>
      </w:pPr>
      <w:r>
        <w:t>01 疾病定义</w:t>
      </w:r>
      <w:bookmarkEnd w:id="9"/>
    </w:p>
    <w:p>
      <w:r>
        <w:t>药物感染免疫等致间质和小管损伤，表现可非典型</w:t>
      </w:r>
    </w:p>
    <w:p>
      <w:bookmarkStart w:id="11" w:name="sec11"/>
      <w:pPr>
        <w:pStyle w:val="Heading3"/>
      </w:pPr>
      <w:r>
        <w:t>02 病因与机制</w:t>
      </w:r>
      <w:bookmarkEnd w:id="11"/>
    </w:p>
    <w:p>
      <w:r>
        <w:t>药物相关免疫反应、感染或系统病可致间质炎症和小管损伤，慢性暴露和修复异常可形成纤维化。</w:t>
      </w:r>
    </w:p>
    <w:p>
      <w:bookmarkStart w:id="13" w:name="sec13"/>
      <w:pPr>
        <w:pStyle w:val="Heading3"/>
      </w:pPr>
      <w:r>
        <w:t>03 临床表现</w:t>
      </w:r>
      <w:bookmarkEnd w:id="13"/>
    </w:p>
    <w:p>
      <w:r>
        <w:t>肾功能异常可伴发热、皮疹或尿检改变，经典表现不齐全常见，不以三联征缺失排除。这些是知识范围，不能自动写成患者已有事实。</w:t>
      </w:r>
    </w:p>
    <w:p>
      <w:bookmarkStart w:id="15" w:name="sec15"/>
      <w:pPr>
        <w:pStyle w:val="Heading3"/>
      </w:pPr>
      <w:r>
        <w:t>04 病史采集</w:t>
      </w:r>
      <w:bookmarkEnd w:id="15"/>
    </w:p>
    <w:p>
      <w:r>
        <w:t>新药中草药感染暴露、发热皮疹时间和停药经过；核发生时间、既往日期、真实治疗与反应及信息来源。</w:t>
      </w:r>
    </w:p>
    <w:p>
      <w:bookmarkStart w:id="17" w:name="sec17"/>
      <w:pPr>
        <w:pStyle w:val="Heading3"/>
      </w:pPr>
      <w:r>
        <w:t>05 专科查体</w:t>
      </w:r>
      <w:bookmarkEnd w:id="17"/>
    </w:p>
    <w:p>
      <w:r>
        <w:t>血压容量、皮疹和系统病线索。只写当次实际实施项目。</w:t>
      </w:r>
    </w:p>
    <w:p>
      <w:bookmarkStart w:id="19" w:name="sec19"/>
      <w:pPr>
        <w:pStyle w:val="Heading3"/>
      </w:pPr>
      <w:r>
        <w:t>06 尿液检验</w:t>
      </w:r>
      <w:bookmarkEnd w:id="19"/>
    </w:p>
    <w:p>
      <w:r>
        <w:t>白细胞、蛋白类型、糖尿和沉渣，不凭尿嗜酸细胞定论。标本和统计窗口注明，未测不写阴性。</w:t>
      </w:r>
    </w:p>
    <w:p>
      <w:bookmarkStart w:id="21" w:name="sec21"/>
      <w:pPr>
        <w:pStyle w:val="Heading3"/>
      </w:pPr>
      <w:r>
        <w:t>07 肾功能和电解质</w:t>
      </w:r>
      <w:bookmarkEnd w:id="21"/>
    </w:p>
    <w:p>
      <w:r>
        <w:t>肌酐、钾酸碱及小管功能。注意采样与RRT时序，不混单位和公式。</w:t>
      </w:r>
    </w:p>
    <w:p>
      <w:bookmarkStart w:id="23" w:name="sec23"/>
      <w:pPr>
        <w:pStyle w:val="Heading3"/>
      </w:pPr>
      <w:r>
        <w:t>08 影像</w:t>
      </w:r>
      <w:bookmarkEnd w:id="23"/>
    </w:p>
    <w:p>
      <w:r>
        <w:t>结构与梗阻评估。报告原文与临床分析分开。</w:t>
      </w:r>
    </w:p>
    <w:p>
      <w:bookmarkStart w:id="25" w:name="sec25"/>
      <w:pPr>
        <w:pStyle w:val="Heading3"/>
      </w:pPr>
      <w:r>
        <w:t>09 免疫与病因检查</w:t>
      </w:r>
      <w:bookmarkEnd w:id="25"/>
    </w:p>
    <w:p>
      <w:r>
        <w:t>按免疫和感染线索选择，非全套常规。申请不证明结果已回。</w:t>
      </w:r>
    </w:p>
    <w:p>
      <w:bookmarkStart w:id="27" w:name="sec27"/>
      <w:pPr>
        <w:pStyle w:val="Heading3"/>
      </w:pPr>
      <w:r>
        <w:t>10 病理或替代性专科证据</w:t>
      </w:r>
      <w:bookmarkEnd w:id="27"/>
    </w:p>
    <w:p>
      <w:r>
        <w:t>实际需要时活检助定病因和活动慢性度。按实际适用性替换，不强迫不必要操作。</w:t>
      </w:r>
    </w:p>
    <w:p>
      <w:bookmarkStart w:id="29" w:name="sec29"/>
      <w:pPr>
        <w:pStyle w:val="Heading3"/>
      </w:pPr>
      <w:r>
        <w:t>11 诊断标准</w:t>
      </w:r>
      <w:bookmarkEnd w:id="29"/>
    </w:p>
    <w:p>
      <w:r>
        <w:t>经典三联征缺失不排除，药物暴露时间不独证因果。标准不完整时保持待明确，不用模板强行确诊。</w:t>
      </w:r>
    </w:p>
    <w:p>
      <w:bookmarkStart w:id="31" w:name="sec31"/>
      <w:pPr>
        <w:pStyle w:val="Heading3"/>
      </w:pPr>
      <w:r>
        <w:t>12 诊断依据</w:t>
      </w:r>
      <w:bookmarkEnd w:id="31"/>
    </w:p>
    <w:p>
      <w:r>
        <w:t>将本患者关于白细胞、蛋白类型、糖尿和沉渣，不凭尿嗜酸细胞定论、肌酐、钾酸碱及小管功能及相关病史逐项对应于诊断；列支持、反对及未获得证据。</w:t>
      </w:r>
    </w:p>
    <w:p>
      <w:bookmarkStart w:id="33" w:name="sec33"/>
      <w:pPr>
        <w:pStyle w:val="Heading3"/>
      </w:pPr>
      <w:r>
        <w:t>13 鉴别诊断</w:t>
      </w:r>
      <w:bookmarkEnd w:id="33"/>
    </w:p>
    <w:p>
      <w:r>
        <w:t>ATI、肾小球病、梗阻、感染与慢性间质病。对本例逐项说明支持、反对及下一步，不机械宣称排除。</w:t>
      </w:r>
    </w:p>
    <w:p>
      <w:bookmarkStart w:id="35" w:name="sec35"/>
      <w:pPr>
        <w:pStyle w:val="Heading3"/>
      </w:pPr>
      <w:r>
        <w:t>14 分型与分期</w:t>
      </w:r>
      <w:bookmarkEnd w:id="35"/>
    </w:p>
    <w:p>
      <w:r>
        <w:t>AKI分期与间质病因分别表达。无完整变量不补分型、评分或风险百分数。</w:t>
      </w:r>
    </w:p>
    <w:p>
      <w:bookmarkStart w:id="37" w:name="sec37"/>
      <w:pPr>
        <w:pStyle w:val="Heading3"/>
      </w:pPr>
      <w:r>
        <w:t>15 危险分层</w:t>
      </w:r>
      <w:bookmarkEnd w:id="37"/>
    </w:p>
    <w:p>
      <w:r>
        <w:t>持续AKI、失盐电解质及CKD。潜在风险与已经发生的并发症分开。</w:t>
      </w:r>
    </w:p>
    <w:p>
      <w:bookmarkStart w:id="39" w:name="sec39"/>
      <w:pPr>
        <w:pStyle w:val="Heading3"/>
      </w:pPr>
      <w:r>
        <w:t>16 肾功能动态评价</w:t>
      </w:r>
      <w:bookmarkEnd w:id="39"/>
    </w:p>
    <w:p>
      <w:r>
        <w:t>肌酐、钾酸碱及小管功能；透析后降低、尿量受利尿影响、跨日基线均说明限制。</w:t>
      </w:r>
    </w:p>
    <w:p>
      <w:bookmarkStart w:id="41" w:name="sec41"/>
      <w:pPr>
        <w:pStyle w:val="Heading3"/>
      </w:pPr>
      <w:r>
        <w:t>17 治疗原则</w:t>
      </w:r>
      <w:bookmarkEnd w:id="41"/>
    </w:p>
    <w:p>
      <w:r>
        <w:t>核可疑暴露并按真实决定停药，治疗感染及免疫适用性由医师权衡。医师建议、已开处方和实际执行分别表达。</w:t>
      </w:r>
    </w:p>
    <w:p>
      <w:bookmarkStart w:id="43" w:name="sec43"/>
      <w:pPr>
        <w:pStyle w:val="Heading3"/>
      </w:pPr>
      <w:r>
        <w:t>18 肾脏替代或特殊治疗评估</w:t>
      </w:r>
      <w:bookmarkEnd w:id="43"/>
    </w:p>
    <w:p>
      <w:r>
        <w:t>评估当前容量、钾、酸碱及尿毒症等器官危险和治疗目标，由真实团队决定方式及时机；仅肌酐升高不自动触发透析。对已在RRT者核每次执行和残肾；特殊人群由相应团队协作。</w:t>
      </w:r>
    </w:p>
    <w:p>
      <w:bookmarkStart w:id="45" w:name="sec45"/>
      <w:pPr>
        <w:pStyle w:val="Heading3"/>
      </w:pPr>
      <w:r>
        <w:t>19 药物管理</w:t>
      </w:r>
      <w:bookmarkEnd w:id="45"/>
    </w:p>
    <w:p>
      <w:r>
        <w:t>核可疑暴露并按真实决定停药，治疗感染及免疫适用性由医师权衡；核肾功能适用、感染出血及停复。真实剂量途径频次来自医嘱和执行，不由AI补造。</w:t>
      </w:r>
    </w:p>
    <w:p>
      <w:bookmarkStart w:id="47" w:name="sec47"/>
      <w:pPr>
        <w:pStyle w:val="Heading3"/>
      </w:pPr>
      <w:r>
        <w:t>20 并发症</w:t>
      </w:r>
      <w:bookmarkEnd w:id="47"/>
    </w:p>
    <w:p>
      <w:r>
        <w:t>持续AKI、失盐电解质及CKD。若出现异常转06，记录事件时刻、实际措施及复评。</w:t>
      </w:r>
    </w:p>
    <w:p>
      <w:bookmarkStart w:id="49" w:name="sec49"/>
      <w:pPr>
        <w:pStyle w:val="Heading3"/>
      </w:pPr>
      <w:r>
        <w:t>21 首次病程</w:t>
      </w:r>
      <w:bookmarkEnd w:id="49"/>
    </w:p>
    <w:p>
      <w:pPr>
        <w:keepNext/>
      </w:pPr>
      <w:r>
        <w:t>【真实记录日期及时间】 首次病程</w:t>
      </w:r>
    </w:p>
    <w:p>
      <w:pPr>
        <w:keepNext/>
      </w:pPr>
      <w:r>
        <w:t>```text</w:t>
      </w:r>
    </w:p>
    <w:p>
      <w:pPr>
        <w:keepNext/>
        <w:keepLines/>
        <w:spacing w:after="0" w:line="252" w:lineRule="auto"/>
      </w:pPr>
      <w:r>
        <w:t>病例特点：【本例病史、实查和检查】</w:t>
      </w:r>
    </w:p>
    <w:p>
      <w:pPr>
        <w:keepNext/>
        <w:keepLines/>
        <w:spacing w:after="0" w:line="252" w:lineRule="auto"/>
      </w:pPr>
      <w:r>
        <w:t>初步诊断及依据：【满足本路径标准的真实项目与缺口】</w:t>
      </w:r>
    </w:p>
    <w:p>
      <w:pPr>
        <w:keepNext/>
        <w:keepLines/>
        <w:spacing w:after="0" w:line="252" w:lineRule="auto"/>
      </w:pPr>
      <w:r>
        <w:t>鉴别诊断：【针对本例ATI、肾小球病、梗阻、感染与慢性间质病的支持反对】</w:t>
      </w:r>
    </w:p>
    <w:p>
      <w:pPr>
        <w:keepNext/>
        <w:keepLines/>
        <w:spacing w:after="0" w:line="252" w:lineRule="auto"/>
      </w:pPr>
      <w:r>
        <w:t>风险及计划：【真实医师对持续AKI、失盐电解质及CKD的评估及安排】。</w:t>
      </w:r>
    </w:p>
    <w:p>
      <w:r>
        <w:t>```</w:t>
      </w:r>
    </w:p>
    <w:p>
      <w:bookmarkStart w:id="51" w:name="sec51"/>
      <w:pPr>
        <w:pStyle w:val="Heading3"/>
      </w:pPr>
      <w:r>
        <w:t>22 日常病程</w:t>
      </w:r>
      <w:bookmarkEnd w:id="51"/>
    </w:p>
    <w:p>
      <w:pPr>
        <w:keepNext/>
      </w:pPr>
      <w:r>
        <w:t>【真实记录日期及时间】 日常病程</w:t>
      </w:r>
    </w:p>
    <w:p>
      <w:pPr>
        <w:keepNext/>
      </w:pPr>
      <w:r>
        <w:t>```text</w:t>
      </w:r>
    </w:p>
    <w:p>
      <w:pPr>
        <w:keepNext/>
        <w:keepLines/>
        <w:spacing w:after="0" w:line="252" w:lineRule="auto"/>
      </w:pPr>
      <w:r>
        <w:t>患者今日【真实变化】，查体【与血压容量、皮疹和系统病线索相关的当次实查】，检查【实际日期及肌酐、钾酸碱及小管功能的结果】。目前【诊断确定度和真实阶段】，已实施【治疗执行与反应】，后续【围绕停药后趋势、过敏史更新和再暴露防范的真实计划】。</w:t>
      </w:r>
    </w:p>
    <w:p>
      <w:r>
        <w:t>```</w:t>
      </w:r>
    </w:p>
    <w:p>
      <w:bookmarkStart w:id="53" w:name="sec53"/>
      <w:pPr>
        <w:pStyle w:val="Heading3"/>
      </w:pPr>
      <w:r>
        <w:t>23 主治医师查房</w:t>
      </w:r>
      <w:bookmarkEnd w:id="53"/>
    </w:p>
    <w:p>
      <w:pPr>
        <w:keepNext/>
      </w:pPr>
      <w:r>
        <w:t>【真实记录日期及时间】 主治医师查房</w:t>
      </w:r>
    </w:p>
    <w:p>
      <w:pPr>
        <w:keepNext/>
      </w:pPr>
      <w:r>
        <w:t>```text</w:t>
      </w:r>
    </w:p>
    <w:p>
      <w:pPr>
        <w:keepNext/>
        <w:keepLines/>
        <w:spacing w:after="0" w:line="252" w:lineRule="auto"/>
      </w:pPr>
      <w:r>
        <w:t>今日随【真实姓名】主治医师查房，患者【真实症状】，实查及检查【当次资料】。主治医师分析【当日肌酐、钾酸碱及小管功能、尿量容量及实际治疗执行的真实意见】，后续【近期监测】。</w:t>
      </w:r>
    </w:p>
    <w:p>
      <w:r>
        <w:t>```</w:t>
      </w:r>
    </w:p>
    <w:p>
      <w:bookmarkStart w:id="55" w:name="sec55"/>
      <w:pPr>
        <w:pStyle w:val="Heading3"/>
      </w:pPr>
      <w:r>
        <w:t>24 副主任医师查房</w:t>
      </w:r>
      <w:bookmarkEnd w:id="55"/>
    </w:p>
    <w:p>
      <w:pPr>
        <w:keepNext/>
      </w:pPr>
      <w:r>
        <w:t>【真实记录日期及时间】 副主任医师查房</w:t>
      </w:r>
    </w:p>
    <w:p>
      <w:pPr>
        <w:keepNext/>
      </w:pPr>
      <w:r>
        <w:t>```text</w:t>
      </w:r>
    </w:p>
    <w:p>
      <w:pPr>
        <w:keepNext/>
        <w:keepLines/>
        <w:spacing w:after="0" w:line="252" w:lineRule="auto"/>
      </w:pPr>
      <w:r>
        <w:t>今日随【真实姓名】副主任医师查房，患者【真实变化】，检查及实查【资料】。副主任医师分析【对经典三联征缺失不排除，药物暴露时间不独证因果与ATI、肾小球病、梗阻、感染与慢性间质病的真实复核，及治疗优化意见】，下一步【真实计划】。</w:t>
      </w:r>
    </w:p>
    <w:p>
      <w:r>
        <w:t>```</w:t>
      </w:r>
    </w:p>
    <w:p>
      <w:bookmarkStart w:id="57" w:name="sec57"/>
      <w:pPr>
        <w:pStyle w:val="Heading3"/>
      </w:pPr>
      <w:r>
        <w:t>25 主任医师查房</w:t>
      </w:r>
      <w:bookmarkEnd w:id="57"/>
    </w:p>
    <w:p>
      <w:pPr>
        <w:keepNext/>
      </w:pPr>
      <w:r>
        <w:t>【真实记录日期及时间】 主任医师查房</w:t>
      </w:r>
    </w:p>
    <w:p>
      <w:pPr>
        <w:keepNext/>
      </w:pPr>
      <w:r>
        <w:t>```text</w:t>
      </w:r>
    </w:p>
    <w:p>
      <w:pPr>
        <w:keepNext/>
        <w:keepLines/>
        <w:spacing w:after="0" w:line="252" w:lineRule="auto"/>
      </w:pPr>
      <w:r>
        <w:t>今日随【真实姓名】主任医师查房，患者【真实病情】，实查和检查【资料】。主任医师分析【本例肾小管间质损伤及急性间质性肾炎的复杂证据、核可疑暴露并按真实决定停药，治疗感染及免疫适用性由医师权衡的重大权衡及持续AKI、失盐电解质及CKD与长期预后】，后续【真实决策】。</w:t>
      </w:r>
    </w:p>
    <w:p>
      <w:r>
        <w:t>```</w:t>
      </w:r>
    </w:p>
    <w:p>
      <w:bookmarkStart w:id="59" w:name="sec59"/>
      <w:pPr>
        <w:pStyle w:val="Heading3"/>
      </w:pPr>
      <w:r>
        <w:t>26 特殊操作前后病程</w:t>
      </w:r>
      <w:bookmarkEnd w:id="59"/>
    </w:p>
    <w:p>
      <w:pPr>
        <w:keepNext/>
      </w:pPr>
      <w:r>
        <w:t>【真实记录日期及时间】 特殊操作前后病程</w:t>
      </w:r>
    </w:p>
    <w:p>
      <w:pPr>
        <w:keepNext/>
      </w:pPr>
      <w:r>
        <w:t>```text</w:t>
      </w:r>
    </w:p>
    <w:p>
      <w:pPr>
        <w:keepNext/>
        <w:keepLines/>
        <w:spacing w:after="0" w:line="252" w:lineRule="auto"/>
      </w:pPr>
      <w:r>
        <w:t>本次【真实操作或RRT事件】目前【拟定、已开始、完成或中断状态】，依据【实际评估】，操作执行【原始记录】，当前【实测反应】，检查【已回资料】，后续【医师计划】。未实际发生操作时仅记录评估，不生成术后事实。</w:t>
      </w:r>
    </w:p>
    <w:p>
      <w:r>
        <w:t>```</w:t>
      </w:r>
    </w:p>
    <w:p>
      <w:bookmarkStart w:id="61" w:name="sec61"/>
      <w:pPr>
        <w:pStyle w:val="Heading3"/>
      </w:pPr>
      <w:r>
        <w:t>27 治疗调整病程</w:t>
      </w:r>
      <w:bookmarkEnd w:id="61"/>
    </w:p>
    <w:p>
      <w:pPr>
        <w:keepNext/>
      </w:pPr>
      <w:r>
        <w:t>【真实记录日期及时间】 治疗调整病程</w:t>
      </w:r>
    </w:p>
    <w:p>
      <w:pPr>
        <w:keepNext/>
      </w:pPr>
      <w:r>
        <w:t>```text</w:t>
      </w:r>
    </w:p>
    <w:p>
      <w:pPr>
        <w:keepNext/>
        <w:keepLines/>
        <w:spacing w:after="0" w:line="252" w:lineRule="auto"/>
      </w:pPr>
      <w:r>
        <w:t>针对【实际问题和变化】，医师决定【有关核可疑暴露并按真实决定停药，治疗感染及免疫适用性由医师权衡的真实调整】，医嘱【状态】，实际执行【来源】，反应及停复【事实】，后续【真实复查安排】。</w:t>
      </w:r>
    </w:p>
    <w:p>
      <w:r>
        <w:t>```</w:t>
      </w:r>
    </w:p>
    <w:p>
      <w:bookmarkStart w:id="63" w:name="sec63"/>
      <w:pPr>
        <w:pStyle w:val="Heading3"/>
      </w:pPr>
      <w:r>
        <w:t>28 异常病程</w:t>
      </w:r>
      <w:bookmarkEnd w:id="63"/>
    </w:p>
    <w:p>
      <w:pPr>
        <w:keepNext/>
      </w:pPr>
      <w:r>
        <w:t>【真实记录日期及时间】 异常病程</w:t>
      </w:r>
    </w:p>
    <w:p>
      <w:pPr>
        <w:keepNext/>
      </w:pPr>
      <w:r>
        <w:t>```text</w:t>
      </w:r>
    </w:p>
    <w:p>
      <w:pPr>
        <w:keepNext/>
        <w:keepLines/>
        <w:spacing w:after="0" w:line="252" w:lineRule="auto"/>
      </w:pPr>
      <w:r>
        <w:t>于【真实时点】发生【症状或异常】，当时【生命体征和关键检查】，考虑【与持续AKI、失盐电解质及CKD相关的判断及确定度】，已采取【实际措施时间】，复评【结果】，后续【现场团队安排】。</w:t>
      </w:r>
    </w:p>
    <w:p>
      <w:r>
        <w:t>```</w:t>
      </w:r>
    </w:p>
    <w:p>
      <w:bookmarkStart w:id="65" w:name="sec65"/>
      <w:pPr>
        <w:pStyle w:val="Heading3"/>
      </w:pPr>
      <w:r>
        <w:t>29 出院记录</w:t>
      </w:r>
      <w:bookmarkEnd w:id="65"/>
    </w:p>
    <w:p>
      <w:pPr>
        <w:keepNext/>
      </w:pPr>
      <w:r>
        <w:t>【真实记录日期及时间】 出院记录</w:t>
      </w:r>
    </w:p>
    <w:p>
      <w:pPr>
        <w:keepNext/>
      </w:pPr>
      <w:r>
        <w:t>```text</w:t>
      </w:r>
    </w:p>
    <w:p>
      <w:pPr>
        <w:keepNext/>
        <w:keepLines/>
        <w:spacing w:after="0" w:line="252" w:lineRule="auto"/>
      </w:pPr>
      <w:r>
        <w:t>入院情况：【真实内容】</w:t>
      </w:r>
    </w:p>
    <w:p>
      <w:pPr>
        <w:keepNext/>
        <w:keepLines/>
        <w:spacing w:after="0" w:line="252" w:lineRule="auto"/>
      </w:pPr>
      <w:r>
        <w:t>诊疗经过：【肾小管间质损伤及急性间质性肾炎证据演变及每次实际治疗】</w:t>
      </w:r>
    </w:p>
    <w:p>
      <w:pPr>
        <w:keepNext/>
        <w:keepLines/>
        <w:spacing w:after="0" w:line="252" w:lineRule="auto"/>
      </w:pPr>
      <w:r>
        <w:t>出院诊断：【确定度和最终依据】</w:t>
      </w:r>
    </w:p>
    <w:p>
      <w:pPr>
        <w:keepNext/>
        <w:keepLines/>
        <w:spacing w:after="0" w:line="252" w:lineRule="auto"/>
      </w:pPr>
      <w:r>
        <w:t>出院情况：【实查肾功能、容量和遗留问题】</w:t>
      </w:r>
    </w:p>
    <w:p>
      <w:pPr>
        <w:keepNext/>
        <w:keepLines/>
        <w:spacing w:after="0" w:line="252" w:lineRule="auto"/>
      </w:pPr>
      <w:r>
        <w:t>出院计划：【真实带药、治疗与停药后趋势、过敏史更新和再暴露防范】。</w:t>
      </w:r>
    </w:p>
    <w:p>
      <w:r>
        <w:t>```</w:t>
      </w:r>
    </w:p>
    <w:p>
      <w:bookmarkStart w:id="67" w:name="sec67"/>
      <w:pPr>
        <w:pStyle w:val="Heading3"/>
      </w:pPr>
      <w:r>
        <w:t>30 出院医嘱</w:t>
      </w:r>
      <w:bookmarkEnd w:id="67"/>
    </w:p>
    <w:p>
      <w:pPr>
        <w:keepNext/>
      </w:pPr>
      <w:r>
        <w:t>【真实记录日期及时间】 出院医嘱</w:t>
      </w:r>
    </w:p>
    <w:p>
      <w:pPr>
        <w:keepNext/>
      </w:pPr>
      <w:r>
        <w:t>```text</w:t>
      </w:r>
    </w:p>
    <w:p>
      <w:pPr>
        <w:keepNext/>
        <w:keepLines/>
        <w:spacing w:after="0" w:line="252" w:lineRule="auto"/>
      </w:pPr>
      <w:r>
        <w:t>药物及停复：【真实审核处方和条件】</w:t>
      </w:r>
    </w:p>
    <w:p>
      <w:pPr>
        <w:keepNext/>
        <w:keepLines/>
        <w:spacing w:after="0" w:line="252" w:lineRule="auto"/>
      </w:pPr>
      <w:r>
        <w:t>治疗方式和通路：【适用且已确认安排】</w:t>
      </w:r>
    </w:p>
    <w:p>
      <w:pPr>
        <w:keepNext/>
        <w:keepLines/>
        <w:spacing w:after="0" w:line="252" w:lineRule="auto"/>
      </w:pPr>
      <w:r>
        <w:t>复查及待回报：【围绕停药后趋势、过敏史更新和再暴露防范的实际日期项目责任】</w:t>
      </w:r>
    </w:p>
    <w:p>
      <w:pPr>
        <w:keepNext/>
        <w:keepLines/>
        <w:spacing w:after="0" w:line="252" w:lineRule="auto"/>
      </w:pPr>
      <w:r>
        <w:t>警示症状：【与持续AKI、失盐电解质及CKD相关且已真实交代的内容】。</w:t>
      </w:r>
    </w:p>
    <w:p>
      <w:r>
        <w:t>```</w:t>
      </w:r>
    </w:p>
    <w:p>
      <w:bookmarkStart w:id="69" w:name="sec69"/>
      <w:pPr>
        <w:pStyle w:val="Heading3"/>
      </w:pPr>
      <w:r>
        <w:t>31 长期随访</w:t>
      </w:r>
      <w:bookmarkEnd w:id="69"/>
    </w:p>
    <w:p>
      <w:r>
        <w:t>停药后趋势、过敏史更新和再暴露防范。记录真实预约和实际完成，不把计划写完成。</w:t>
      </w:r>
    </w:p>
    <w:p>
      <w:bookmarkStart w:id="71" w:name="sec71"/>
      <w:pPr>
        <w:pStyle w:val="Heading3"/>
      </w:pPr>
      <w:r>
        <w:t>32 最终质控</w:t>
      </w:r>
      <w:bookmarkEnd w:id="71"/>
    </w:p>
    <w:p>
      <w:r>
        <w:t>经典三联征缺失不排除，药物暴露时间不独证因果；核每次诊断、检查可知时间、实际执行和实际需要时活检助定病因和活动慢性度的证据边界，按10终审。</w:t>
      </w:r>
    </w:p>
    <w:p>
      <w:bookmarkStart w:id="73" w:name="sec73"/>
      <w:pPr>
        <w:pStyle w:val="Heading3"/>
      </w:pPr>
      <w:r>
        <w:t>33 参考指南与版本</w:t>
      </w:r>
      <w:bookmarkEnd w:id="73"/>
    </w:p>
    <w:p>
      <w:r>
        <w:t>采用文末R05、R06、R11的相应正式版本和适用人群。主路径是文书组织，不将所有提示宣称为指南分级推荐；具体推荐及药物使用需实际查原文和本院规范。</w:t>
      </w:r>
    </w:p>
    <w:p>
      <w:bookmarkStart w:id="75" w:name="sec75"/>
      <w:pPr>
        <w:pStyle w:val="Heading1"/>
      </w:pPr>
      <w:r>
        <w:t>肾小管酸中毒及遗传性小管病 的33项路径</w:t>
      </w:r>
      <w:bookmarkEnd w:id="75"/>
    </w:p>
    <w:p>
      <w:bookmarkStart w:id="76" w:name="sec76"/>
      <w:pPr>
        <w:pStyle w:val="Heading3"/>
      </w:pPr>
      <w:r>
        <w:t>01 疾病定义</w:t>
      </w:r>
      <w:bookmarkEnd w:id="76"/>
    </w:p>
    <w:p>
      <w:r>
        <w:t>酸化或溶质重吸收异常可引起酸碱、电解质和生长骨代谢问题</w:t>
      </w:r>
    </w:p>
    <w:p>
      <w:bookmarkStart w:id="78" w:name="sec78"/>
      <w:pPr>
        <w:pStyle w:val="Heading3"/>
      </w:pPr>
      <w:r>
        <w:t>02 病因与机制</w:t>
      </w:r>
      <w:bookmarkEnd w:id="78"/>
    </w:p>
    <w:p>
      <w:r>
        <w:t>小管分泌氢、重吸收碳酸氢根或相关激素反应异常可致酸碱紊乱；近端多种溶质丢失支持广泛近端功能障碍。</w:t>
      </w:r>
    </w:p>
    <w:p>
      <w:bookmarkStart w:id="80" w:name="sec80"/>
      <w:pPr>
        <w:pStyle w:val="Heading3"/>
      </w:pPr>
      <w:r>
        <w:t>03 临床表现</w:t>
      </w:r>
      <w:bookmarkEnd w:id="80"/>
    </w:p>
    <w:p>
      <w:r>
        <w:t>多尿、肌无力、结石、骨或生长问题及电解质异常可见，需与胃肠丢失和其他代谢病区分。这些是知识范围，不能自动写成患者已有事实。</w:t>
      </w:r>
    </w:p>
    <w:p>
      <w:bookmarkStart w:id="82" w:name="sec82"/>
      <w:pPr>
        <w:pStyle w:val="Heading3"/>
      </w:pPr>
      <w:r>
        <w:t>04 病史采集</w:t>
      </w:r>
      <w:bookmarkEnd w:id="82"/>
    </w:p>
    <w:p>
      <w:r>
        <w:t>多尿乏力结石、低钾、药物与家族及儿童生长；核发生时间、既往日期、真实治疗与反应及信息来源。</w:t>
      </w:r>
    </w:p>
    <w:p>
      <w:bookmarkStart w:id="84" w:name="sec84"/>
      <w:pPr>
        <w:pStyle w:val="Heading3"/>
      </w:pPr>
      <w:r>
        <w:t>05 专科查体</w:t>
      </w:r>
      <w:bookmarkEnd w:id="84"/>
    </w:p>
    <w:p>
      <w:r>
        <w:t>血压容量肌力、营养和生长实测。只写当次实际实施项目。</w:t>
      </w:r>
    </w:p>
    <w:p>
      <w:bookmarkStart w:id="86" w:name="sec86"/>
      <w:pPr>
        <w:pStyle w:val="Heading3"/>
      </w:pPr>
      <w:r>
        <w:t>06 尿液检验</w:t>
      </w:r>
      <w:bookmarkEnd w:id="86"/>
    </w:p>
    <w:p>
      <w:r>
        <w:t>尿pH、电解质及尿糖等在采样条件下解释。标本和统计窗口注明，未测不写阴性。</w:t>
      </w:r>
    </w:p>
    <w:p>
      <w:bookmarkStart w:id="88" w:name="sec88"/>
      <w:pPr>
        <w:pStyle w:val="Heading3"/>
      </w:pPr>
      <w:r>
        <w:t>07 肾功能和电解质</w:t>
      </w:r>
      <w:bookmarkEnd w:id="88"/>
    </w:p>
    <w:p>
      <w:r>
        <w:t>血气、电解质、肾功能和阴离子间隙，非由HCO3单项分型。注意采样与RRT时序，不混单位和公式。</w:t>
      </w:r>
    </w:p>
    <w:p>
      <w:bookmarkStart w:id="90" w:name="sec90"/>
      <w:pPr>
        <w:pStyle w:val="Heading3"/>
      </w:pPr>
      <w:r>
        <w:t>08 影像</w:t>
      </w:r>
      <w:bookmarkEnd w:id="90"/>
    </w:p>
    <w:p>
      <w:r>
        <w:t>结石钙化结构病变按实际影像。报告原文与临床分析分开。</w:t>
      </w:r>
    </w:p>
    <w:p>
      <w:bookmarkStart w:id="92" w:name="sec92"/>
      <w:pPr>
        <w:pStyle w:val="Heading3"/>
      </w:pPr>
      <w:r>
        <w:t>09 免疫与病因检查</w:t>
      </w:r>
      <w:bookmarkEnd w:id="92"/>
    </w:p>
    <w:p>
      <w:r>
        <w:t>自身免疫或遗传病因线索检验。申请不证明结果已回。</w:t>
      </w:r>
    </w:p>
    <w:p>
      <w:bookmarkStart w:id="94" w:name="sec94"/>
      <w:pPr>
        <w:pStyle w:val="Heading3"/>
      </w:pPr>
      <w:r>
        <w:t>10 病理或替代性专科证据</w:t>
      </w:r>
      <w:bookmarkEnd w:id="94"/>
    </w:p>
    <w:p>
      <w:r>
        <w:t>多数无需机械肾活检；基因型仅据真实检测。按实际适用性替换，不强迫不必要操作。</w:t>
      </w:r>
    </w:p>
    <w:p>
      <w:bookmarkStart w:id="96" w:name="sec96"/>
      <w:pPr>
        <w:pStyle w:val="Heading3"/>
      </w:pPr>
      <w:r>
        <w:t>11 诊断标准</w:t>
      </w:r>
      <w:bookmarkEnd w:id="96"/>
    </w:p>
    <w:p>
      <w:r>
        <w:t>需排其他酸中毒或腹泻等，尿指标受治疗影响。标准不完整时保持待明确，不用模板强行确诊。</w:t>
      </w:r>
    </w:p>
    <w:p>
      <w:bookmarkStart w:id="98" w:name="sec98"/>
      <w:pPr>
        <w:pStyle w:val="Heading3"/>
      </w:pPr>
      <w:r>
        <w:t>12 诊断依据</w:t>
      </w:r>
      <w:bookmarkEnd w:id="98"/>
    </w:p>
    <w:p>
      <w:r>
        <w:t>将本患者关于尿pH、电解质及尿糖等在采样条件下解释、血气、电解质、肾功能和阴离子间隙，非由HCO3单项分型及相关病史逐项对应于诊断；列支持、反对及未获得证据。</w:t>
      </w:r>
    </w:p>
    <w:p>
      <w:bookmarkStart w:id="100" w:name="sec100"/>
      <w:pPr>
        <w:pStyle w:val="Heading3"/>
      </w:pPr>
      <w:r>
        <w:t>13 鉴别诊断</w:t>
      </w:r>
      <w:bookmarkEnd w:id="100"/>
    </w:p>
    <w:p>
      <w:r>
        <w:t>胃肠丢失、药物、DKA及CKD酸中毒。对本例逐项说明支持、反对及下一步，不机械宣称排除。</w:t>
      </w:r>
    </w:p>
    <w:p>
      <w:bookmarkStart w:id="102" w:name="sec102"/>
      <w:pPr>
        <w:pStyle w:val="Heading3"/>
      </w:pPr>
      <w:r>
        <w:t>14 分型与分期</w:t>
      </w:r>
      <w:bookmarkEnd w:id="102"/>
    </w:p>
    <w:p>
      <w:r>
        <w:t>远端近端或高钾型依完整证据；Fanconi需多项近端功能证据。无完整变量不补分型、评分或风险百分数。</w:t>
      </w:r>
    </w:p>
    <w:p>
      <w:bookmarkStart w:id="104" w:name="sec104"/>
      <w:pPr>
        <w:pStyle w:val="Heading3"/>
      </w:pPr>
      <w:r>
        <w:t>15 危险分层</w:t>
      </w:r>
      <w:bookmarkEnd w:id="104"/>
    </w:p>
    <w:p>
      <w:r>
        <w:t>心律失常、结石、骨病及生长障碍。潜在风险与已经发生的并发症分开。</w:t>
      </w:r>
    </w:p>
    <w:p>
      <w:bookmarkStart w:id="106" w:name="sec106"/>
      <w:pPr>
        <w:pStyle w:val="Heading3"/>
      </w:pPr>
      <w:r>
        <w:t>16 肾功能动态评价</w:t>
      </w:r>
      <w:bookmarkEnd w:id="106"/>
    </w:p>
    <w:p>
      <w:r>
        <w:t>血气、电解质、肾功能和阴离子间隙，非由HCO3单项分型；透析后降低、尿量受利尿影响、跨日基线均说明限制。</w:t>
      </w:r>
    </w:p>
    <w:p>
      <w:bookmarkStart w:id="108" w:name="sec108"/>
      <w:pPr>
        <w:pStyle w:val="Heading3"/>
      </w:pPr>
      <w:r>
        <w:t>17 治疗原则</w:t>
      </w:r>
      <w:bookmarkEnd w:id="108"/>
    </w:p>
    <w:p>
      <w:r>
        <w:t>纠正病因和失衡依真实处方，不自动计算补钾补碱剂量。医师建议、已开处方和实际执行分别表达。</w:t>
      </w:r>
    </w:p>
    <w:p>
      <w:bookmarkStart w:id="110" w:name="sec110"/>
      <w:pPr>
        <w:pStyle w:val="Heading3"/>
      </w:pPr>
      <w:r>
        <w:t>18 肾脏替代或特殊治疗评估</w:t>
      </w:r>
      <w:bookmarkEnd w:id="110"/>
    </w:p>
    <w:p>
      <w:r>
        <w:t>评估当前容量、钾、酸碱及尿毒症等器官危险和治疗目标，由真实团队决定方式及时机；仅肌酐升高不自动触发透析。对已在RRT者核每次执行和残肾；特殊人群由相应团队协作。</w:t>
      </w:r>
    </w:p>
    <w:p>
      <w:bookmarkStart w:id="112" w:name="sec112"/>
      <w:pPr>
        <w:pStyle w:val="Heading3"/>
      </w:pPr>
      <w:r>
        <w:t>19 药物管理</w:t>
      </w:r>
      <w:bookmarkEnd w:id="112"/>
    </w:p>
    <w:p>
      <w:r>
        <w:t>纠正病因和失衡依真实处方，不自动计算补钾补碱剂量；核肾功能适用、感染出血及停复。真实剂量途径频次来自医嘱和执行，不由AI补造。</w:t>
      </w:r>
    </w:p>
    <w:p>
      <w:bookmarkStart w:id="114" w:name="sec114"/>
      <w:pPr>
        <w:pStyle w:val="Heading3"/>
      </w:pPr>
      <w:r>
        <w:t>20 并发症</w:t>
      </w:r>
      <w:bookmarkEnd w:id="114"/>
    </w:p>
    <w:p>
      <w:r>
        <w:t>心律失常、结石、骨病及生长障碍。若出现异常转06，记录事件时刻、实际措施及复评。</w:t>
      </w:r>
    </w:p>
    <w:p>
      <w:bookmarkStart w:id="116" w:name="sec116"/>
      <w:pPr>
        <w:pStyle w:val="Heading3"/>
      </w:pPr>
      <w:r>
        <w:t>21 首次病程</w:t>
      </w:r>
      <w:bookmarkEnd w:id="116"/>
    </w:p>
    <w:p>
      <w:pPr>
        <w:keepNext/>
      </w:pPr>
      <w:r>
        <w:t>【真实记录日期及时间】 首次病程</w:t>
      </w:r>
    </w:p>
    <w:p>
      <w:pPr>
        <w:keepNext/>
      </w:pPr>
      <w:r>
        <w:t>```text</w:t>
      </w:r>
    </w:p>
    <w:p>
      <w:pPr>
        <w:keepNext/>
        <w:keepLines/>
        <w:spacing w:after="0" w:line="252" w:lineRule="auto"/>
      </w:pPr>
      <w:r>
        <w:t>病例特点：【本例病史、实查和检查】</w:t>
      </w:r>
    </w:p>
    <w:p>
      <w:pPr>
        <w:keepNext/>
        <w:keepLines/>
        <w:spacing w:after="0" w:line="252" w:lineRule="auto"/>
      </w:pPr>
      <w:r>
        <w:t>初步诊断及依据：【满足本路径标准的真实项目与缺口】</w:t>
      </w:r>
    </w:p>
    <w:p>
      <w:pPr>
        <w:keepNext/>
        <w:keepLines/>
        <w:spacing w:after="0" w:line="252" w:lineRule="auto"/>
      </w:pPr>
      <w:r>
        <w:t>鉴别诊断：【针对本例胃肠丢失、药物、DKA及CKD酸中毒的支持反对】</w:t>
      </w:r>
    </w:p>
    <w:p>
      <w:pPr>
        <w:keepNext/>
        <w:keepLines/>
        <w:spacing w:after="0" w:line="252" w:lineRule="auto"/>
      </w:pPr>
      <w:r>
        <w:t>风险及计划：【真实医师对心律失常、结石、骨病及生长障碍的评估及安排】。</w:t>
      </w:r>
    </w:p>
    <w:p>
      <w:r>
        <w:t>```</w:t>
      </w:r>
    </w:p>
    <w:p>
      <w:bookmarkStart w:id="118" w:name="sec118"/>
      <w:pPr>
        <w:pStyle w:val="Heading3"/>
      </w:pPr>
      <w:r>
        <w:t>22 日常病程</w:t>
      </w:r>
      <w:bookmarkEnd w:id="118"/>
    </w:p>
    <w:p>
      <w:pPr>
        <w:keepNext/>
      </w:pPr>
      <w:r>
        <w:t>【真实记录日期及时间】 日常病程</w:t>
      </w:r>
    </w:p>
    <w:p>
      <w:pPr>
        <w:keepNext/>
      </w:pPr>
      <w:r>
        <w:t>```text</w:t>
      </w:r>
    </w:p>
    <w:p>
      <w:pPr>
        <w:keepNext/>
        <w:keepLines/>
        <w:spacing w:after="0" w:line="252" w:lineRule="auto"/>
      </w:pPr>
      <w:r>
        <w:t>患者今日【真实变化】，查体【与血压容量肌力、营养和生长实测相关的当次实查】，检查【实际日期及血气、电解质、肾功能和阴离子间隙，非由HCO3单项分型的结果】。目前【诊断确定度和真实阶段】，已实施【治疗执行与反应】，后续【围绕电解质酸碱、结石、骨生长及遗传咨询的真实计划】。</w:t>
      </w:r>
    </w:p>
    <w:p>
      <w:r>
        <w:t>```</w:t>
      </w:r>
    </w:p>
    <w:p>
      <w:bookmarkStart w:id="120" w:name="sec120"/>
      <w:pPr>
        <w:pStyle w:val="Heading3"/>
      </w:pPr>
      <w:r>
        <w:t>23 主治医师查房</w:t>
      </w:r>
      <w:bookmarkEnd w:id="120"/>
    </w:p>
    <w:p>
      <w:pPr>
        <w:keepNext/>
      </w:pPr>
      <w:r>
        <w:t>【真实记录日期及时间】 主治医师查房</w:t>
      </w:r>
    </w:p>
    <w:p>
      <w:pPr>
        <w:keepNext/>
      </w:pPr>
      <w:r>
        <w:t>```text</w:t>
      </w:r>
    </w:p>
    <w:p>
      <w:pPr>
        <w:keepNext/>
        <w:keepLines/>
        <w:spacing w:after="0" w:line="252" w:lineRule="auto"/>
      </w:pPr>
      <w:r>
        <w:t>今日随【真实姓名】主治医师查房，患者【真实症状】，实查及检查【当次资料】。主治医师分析【当日血气、电解质、肾功能和阴离子间隙，非由HCO3单项分型、尿量容量及实际治疗执行的真实意见】，后续【近期监测】。</w:t>
      </w:r>
    </w:p>
    <w:p>
      <w:r>
        <w:t>```</w:t>
      </w:r>
    </w:p>
    <w:p>
      <w:bookmarkStart w:id="122" w:name="sec122"/>
      <w:pPr>
        <w:pStyle w:val="Heading3"/>
      </w:pPr>
      <w:r>
        <w:t>24 副主任医师查房</w:t>
      </w:r>
      <w:bookmarkEnd w:id="122"/>
    </w:p>
    <w:p>
      <w:pPr>
        <w:keepNext/>
      </w:pPr>
      <w:r>
        <w:t>【真实记录日期及时间】 副主任医师查房</w:t>
      </w:r>
    </w:p>
    <w:p>
      <w:pPr>
        <w:keepNext/>
      </w:pPr>
      <w:r>
        <w:t>```text</w:t>
      </w:r>
    </w:p>
    <w:p>
      <w:pPr>
        <w:keepNext/>
        <w:keepLines/>
        <w:spacing w:after="0" w:line="252" w:lineRule="auto"/>
      </w:pPr>
      <w:r>
        <w:t>今日随【真实姓名】副主任医师查房，患者【真实变化】，检查及实查【资料】。副主任医师分析【对需排其他酸中毒或腹泻等，尿指标受治疗影响与胃肠丢失、药物、DKA及CKD酸中毒的真实复核，及治疗优化意见】，下一步【真实计划】。</w:t>
      </w:r>
    </w:p>
    <w:p>
      <w:r>
        <w:t>```</w:t>
      </w:r>
    </w:p>
    <w:p>
      <w:bookmarkStart w:id="124" w:name="sec124"/>
      <w:pPr>
        <w:pStyle w:val="Heading3"/>
      </w:pPr>
      <w:r>
        <w:t>25 主任医师查房</w:t>
      </w:r>
      <w:bookmarkEnd w:id="124"/>
    </w:p>
    <w:p>
      <w:pPr>
        <w:keepNext/>
      </w:pPr>
      <w:r>
        <w:t>【真实记录日期及时间】 主任医师查房</w:t>
      </w:r>
    </w:p>
    <w:p>
      <w:pPr>
        <w:keepNext/>
      </w:pPr>
      <w:r>
        <w:t>```text</w:t>
      </w:r>
    </w:p>
    <w:p>
      <w:pPr>
        <w:keepNext/>
        <w:keepLines/>
        <w:spacing w:after="0" w:line="252" w:lineRule="auto"/>
      </w:pPr>
      <w:r>
        <w:t>今日随【真实姓名】主任医师查房，患者【真实病情】，实查和检查【资料】。主任医师分析【本例肾小管酸中毒及遗传性小管病的复杂证据、纠正病因和失衡依真实处方，不自动计算补钾补碱剂量的重大权衡及心律失常、结石、骨病及生长障碍与长期预后】，后续【真实决策】。</w:t>
      </w:r>
    </w:p>
    <w:p>
      <w:r>
        <w:t>```</w:t>
      </w:r>
    </w:p>
    <w:p>
      <w:bookmarkStart w:id="126" w:name="sec126"/>
      <w:pPr>
        <w:pStyle w:val="Heading3"/>
      </w:pPr>
      <w:r>
        <w:t>26 特殊操作前后病程</w:t>
      </w:r>
      <w:bookmarkEnd w:id="126"/>
    </w:p>
    <w:p>
      <w:pPr>
        <w:keepNext/>
      </w:pPr>
      <w:r>
        <w:t>【真实记录日期及时间】 特殊操作前后病程</w:t>
      </w:r>
    </w:p>
    <w:p>
      <w:pPr>
        <w:keepNext/>
      </w:pPr>
      <w:r>
        <w:t>```text</w:t>
      </w:r>
    </w:p>
    <w:p>
      <w:pPr>
        <w:keepNext/>
        <w:keepLines/>
        <w:spacing w:after="0" w:line="252" w:lineRule="auto"/>
      </w:pPr>
      <w:r>
        <w:t>本次【真实操作或RRT事件】目前【拟定、已开始、完成或中断状态】，依据【实际评估】，操作执行【原始记录】，当前【实测反应】，检查【已回资料】，后续【医师计划】。未实际发生操作时仅记录评估，不生成术后事实。</w:t>
      </w:r>
    </w:p>
    <w:p>
      <w:r>
        <w:t>```</w:t>
      </w:r>
    </w:p>
    <w:p>
      <w:bookmarkStart w:id="128" w:name="sec128"/>
      <w:pPr>
        <w:pStyle w:val="Heading3"/>
      </w:pPr>
      <w:r>
        <w:t>27 治疗调整病程</w:t>
      </w:r>
      <w:bookmarkEnd w:id="128"/>
    </w:p>
    <w:p>
      <w:pPr>
        <w:keepNext/>
      </w:pPr>
      <w:r>
        <w:t>【真实记录日期及时间】 治疗调整病程</w:t>
      </w:r>
    </w:p>
    <w:p>
      <w:pPr>
        <w:keepNext/>
      </w:pPr>
      <w:r>
        <w:t>```text</w:t>
      </w:r>
    </w:p>
    <w:p>
      <w:pPr>
        <w:keepNext/>
        <w:keepLines/>
        <w:spacing w:after="0" w:line="252" w:lineRule="auto"/>
      </w:pPr>
      <w:r>
        <w:t>针对【实际问题和变化】，医师决定【有关纠正病因和失衡依真实处方，不自动计算补钾补碱剂量的真实调整】，医嘱【状态】，实际执行【来源】，反应及停复【事实】，后续【真实复查安排】。</w:t>
      </w:r>
    </w:p>
    <w:p>
      <w:r>
        <w:t>```</w:t>
      </w:r>
    </w:p>
    <w:p>
      <w:bookmarkStart w:id="130" w:name="sec130"/>
      <w:pPr>
        <w:pStyle w:val="Heading3"/>
      </w:pPr>
      <w:r>
        <w:t>28 异常病程</w:t>
      </w:r>
      <w:bookmarkEnd w:id="130"/>
    </w:p>
    <w:p>
      <w:pPr>
        <w:keepNext/>
      </w:pPr>
      <w:r>
        <w:t>【真实记录日期及时间】 异常病程</w:t>
      </w:r>
    </w:p>
    <w:p>
      <w:pPr>
        <w:keepNext/>
      </w:pPr>
      <w:r>
        <w:t>```text</w:t>
      </w:r>
    </w:p>
    <w:p>
      <w:pPr>
        <w:keepNext/>
        <w:keepLines/>
        <w:spacing w:after="0" w:line="252" w:lineRule="auto"/>
      </w:pPr>
      <w:r>
        <w:t>于【真实时点】发生【症状或异常】，当时【生命体征和关键检查】，考虑【与心律失常、结石、骨病及生长障碍相关的判断及确定度】，已采取【实际措施时间】，复评【结果】，后续【现场团队安排】。</w:t>
      </w:r>
    </w:p>
    <w:p>
      <w:r>
        <w:t>```</w:t>
      </w:r>
    </w:p>
    <w:p>
      <w:bookmarkStart w:id="132" w:name="sec132"/>
      <w:pPr>
        <w:pStyle w:val="Heading3"/>
      </w:pPr>
      <w:r>
        <w:t>29 出院记录</w:t>
      </w:r>
      <w:bookmarkEnd w:id="132"/>
    </w:p>
    <w:p>
      <w:pPr>
        <w:keepNext/>
      </w:pPr>
      <w:r>
        <w:t>【真实记录日期及时间】 出院记录</w:t>
      </w:r>
    </w:p>
    <w:p>
      <w:pPr>
        <w:keepNext/>
      </w:pPr>
      <w:r>
        <w:t>```text</w:t>
      </w:r>
    </w:p>
    <w:p>
      <w:pPr>
        <w:keepNext/>
        <w:keepLines/>
        <w:spacing w:after="0" w:line="252" w:lineRule="auto"/>
      </w:pPr>
      <w:r>
        <w:t>入院情况：【真实内容】</w:t>
      </w:r>
    </w:p>
    <w:p>
      <w:pPr>
        <w:keepNext/>
        <w:keepLines/>
        <w:spacing w:after="0" w:line="252" w:lineRule="auto"/>
      </w:pPr>
      <w:r>
        <w:t>诊疗经过：【肾小管酸中毒及遗传性小管病证据演变及每次实际治疗】</w:t>
      </w:r>
    </w:p>
    <w:p>
      <w:pPr>
        <w:keepNext/>
        <w:keepLines/>
        <w:spacing w:after="0" w:line="252" w:lineRule="auto"/>
      </w:pPr>
      <w:r>
        <w:t>出院诊断：【确定度和最终依据】</w:t>
      </w:r>
    </w:p>
    <w:p>
      <w:pPr>
        <w:keepNext/>
        <w:keepLines/>
        <w:spacing w:after="0" w:line="252" w:lineRule="auto"/>
      </w:pPr>
      <w:r>
        <w:t>出院情况：【实查肾功能、容量和遗留问题】</w:t>
      </w:r>
    </w:p>
    <w:p>
      <w:pPr>
        <w:keepNext/>
        <w:keepLines/>
        <w:spacing w:after="0" w:line="252" w:lineRule="auto"/>
      </w:pPr>
      <w:r>
        <w:t>出院计划：【真实带药、治疗与电解质酸碱、结石、骨生长及遗传咨询】。</w:t>
      </w:r>
    </w:p>
    <w:p>
      <w:r>
        <w:t>```</w:t>
      </w:r>
    </w:p>
    <w:p>
      <w:bookmarkStart w:id="134" w:name="sec134"/>
      <w:pPr>
        <w:pStyle w:val="Heading3"/>
      </w:pPr>
      <w:r>
        <w:t>30 出院医嘱</w:t>
      </w:r>
      <w:bookmarkEnd w:id="134"/>
    </w:p>
    <w:p>
      <w:pPr>
        <w:keepNext/>
      </w:pPr>
      <w:r>
        <w:t>【真实记录日期及时间】 出院医嘱</w:t>
      </w:r>
    </w:p>
    <w:p>
      <w:pPr>
        <w:keepNext/>
      </w:pPr>
      <w:r>
        <w:t>```text</w:t>
      </w:r>
    </w:p>
    <w:p>
      <w:pPr>
        <w:keepNext/>
        <w:keepLines/>
        <w:spacing w:after="0" w:line="252" w:lineRule="auto"/>
      </w:pPr>
      <w:r>
        <w:t>药物及停复：【真实审核处方和条件】</w:t>
      </w:r>
    </w:p>
    <w:p>
      <w:pPr>
        <w:keepNext/>
        <w:keepLines/>
        <w:spacing w:after="0" w:line="252" w:lineRule="auto"/>
      </w:pPr>
      <w:r>
        <w:t>治疗方式和通路：【适用且已确认安排】</w:t>
      </w:r>
    </w:p>
    <w:p>
      <w:pPr>
        <w:keepNext/>
        <w:keepLines/>
        <w:spacing w:after="0" w:line="252" w:lineRule="auto"/>
      </w:pPr>
      <w:r>
        <w:t>复查及待回报：【围绕电解质酸碱、结石、骨生长及遗传咨询的实际日期项目责任】</w:t>
      </w:r>
    </w:p>
    <w:p>
      <w:pPr>
        <w:keepNext/>
        <w:keepLines/>
        <w:spacing w:after="0" w:line="252" w:lineRule="auto"/>
      </w:pPr>
      <w:r>
        <w:t>警示症状：【与心律失常、结石、骨病及生长障碍相关且已真实交代的内容】。</w:t>
      </w:r>
    </w:p>
    <w:p>
      <w:r>
        <w:t>```</w:t>
      </w:r>
    </w:p>
    <w:p>
      <w:bookmarkStart w:id="136" w:name="sec136"/>
      <w:pPr>
        <w:pStyle w:val="Heading3"/>
      </w:pPr>
      <w:r>
        <w:t>31 长期随访</w:t>
      </w:r>
      <w:bookmarkEnd w:id="136"/>
    </w:p>
    <w:p>
      <w:r>
        <w:t>电解质酸碱、结石、骨生长及遗传咨询。记录真实预约和实际完成，不把计划写完成。</w:t>
      </w:r>
    </w:p>
    <w:p>
      <w:bookmarkStart w:id="138" w:name="sec138"/>
      <w:pPr>
        <w:pStyle w:val="Heading3"/>
      </w:pPr>
      <w:r>
        <w:t>32 最终质控</w:t>
      </w:r>
      <w:bookmarkEnd w:id="138"/>
    </w:p>
    <w:p>
      <w:r>
        <w:t>需排其他酸中毒或腹泻等，尿指标受治疗影响；核每次诊断、检查可知时间、实际执行和多数无需机械肾活检；基因型仅据真实检测的证据边界，按10终审。</w:t>
      </w:r>
    </w:p>
    <w:p>
      <w:bookmarkStart w:id="140" w:name="sec140"/>
      <w:pPr>
        <w:pStyle w:val="Heading3"/>
      </w:pPr>
      <w:r>
        <w:t>33 参考指南与版本</w:t>
      </w:r>
      <w:bookmarkEnd w:id="140"/>
    </w:p>
    <w:p>
      <w:r>
        <w:t>采用文末R05、R06、R11的相应正式版本和适用人群。主路径是文书组织，不将所有提示宣称为指南分级推荐；具体推荐及药物使用需实际查原文和本院规范。</w:t>
      </w:r>
    </w:p>
    <w:p>
      <w:bookmarkStart w:id="142" w:name="sec142"/>
      <w:pPr>
        <w:pStyle w:val="Heading1"/>
      </w:pPr>
      <w:r>
        <w:t>ADPKD及遗传性肾病评估 的33项路径</w:t>
      </w:r>
      <w:bookmarkEnd w:id="142"/>
    </w:p>
    <w:p>
      <w:bookmarkStart w:id="143" w:name="sec143"/>
      <w:pPr>
        <w:pStyle w:val="Heading3"/>
      </w:pPr>
      <w:r>
        <w:t>01 疾病定义</w:t>
      </w:r>
      <w:bookmarkEnd w:id="143"/>
    </w:p>
    <w:p>
      <w:r>
        <w:t>遗传性囊性肾病，肾外受累和家系风险须分别评价</w:t>
      </w:r>
    </w:p>
    <w:p>
      <w:bookmarkStart w:id="145" w:name="sec145"/>
      <w:pPr>
        <w:pStyle w:val="Heading3"/>
      </w:pPr>
      <w:r>
        <w:t>02 病因与机制</w:t>
      </w:r>
      <w:bookmarkEnd w:id="145"/>
    </w:p>
    <w:p>
      <w:r>
        <w:t>遗传性囊肿形成和增长可造成结构破坏及肾功能下降；不同遗传背景和肾外病变影响个体风险，不由影像反推基因型。</w:t>
      </w:r>
    </w:p>
    <w:p>
      <w:bookmarkStart w:id="147" w:name="sec147"/>
      <w:pPr>
        <w:pStyle w:val="Heading3"/>
      </w:pPr>
      <w:r>
        <w:t>03 临床表现</w:t>
      </w:r>
      <w:bookmarkEnd w:id="147"/>
    </w:p>
    <w:p>
      <w:r>
        <w:t>可能有高血压、血尿、腰腹痛、结石感染或肾功能下降，也可由偶然影像发现。这些是知识范围，不能自动写成患者已有事实。</w:t>
      </w:r>
    </w:p>
    <w:p>
      <w:bookmarkStart w:id="149" w:name="sec149"/>
      <w:pPr>
        <w:pStyle w:val="Heading3"/>
      </w:pPr>
      <w:r>
        <w:t>04 病史采集</w:t>
      </w:r>
      <w:bookmarkEnd w:id="149"/>
    </w:p>
    <w:p>
      <w:r>
        <w:t>家族、血尿疼痛感染、结石与脑血管家族史；核发生时间、既往日期、真实治疗与反应及信息来源。</w:t>
      </w:r>
    </w:p>
    <w:p>
      <w:bookmarkStart w:id="151" w:name="sec151"/>
      <w:pPr>
        <w:pStyle w:val="Heading3"/>
      </w:pPr>
      <w:r>
        <w:t>05 专科查体</w:t>
      </w:r>
      <w:bookmarkEnd w:id="151"/>
    </w:p>
    <w:p>
      <w:r>
        <w:t>血压容量腹部及疼痛体征。只写当次实际实施项目。</w:t>
      </w:r>
    </w:p>
    <w:p>
      <w:bookmarkStart w:id="153" w:name="sec153"/>
      <w:pPr>
        <w:pStyle w:val="Heading3"/>
      </w:pPr>
      <w:r>
        <w:t>06 尿液检验</w:t>
      </w:r>
      <w:bookmarkEnd w:id="153"/>
    </w:p>
    <w:p>
      <w:r>
        <w:t>血尿蛋白及培养如感染线索。标本和统计窗口注明，未测不写阴性。</w:t>
      </w:r>
    </w:p>
    <w:p>
      <w:bookmarkStart w:id="155" w:name="sec155"/>
      <w:pPr>
        <w:pStyle w:val="Heading3"/>
      </w:pPr>
      <w:r>
        <w:t>07 肾功能和电解质</w:t>
      </w:r>
      <w:bookmarkEnd w:id="155"/>
    </w:p>
    <w:p>
      <w:r>
        <w:t>eGFR趋势和并发症，肌酐不决定基因型。注意采样与RRT时序，不混单位和公式。</w:t>
      </w:r>
    </w:p>
    <w:p>
      <w:bookmarkStart w:id="157" w:name="sec157"/>
      <w:pPr>
        <w:pStyle w:val="Heading3"/>
      </w:pPr>
      <w:r>
        <w:t>08 影像</w:t>
      </w:r>
      <w:bookmarkEnd w:id="157"/>
    </w:p>
    <w:p>
      <w:r>
        <w:t>年龄家族背景相符的影像诊断与必要基因检查；风险模型须完整变量。报告原文与临床分析分开。</w:t>
      </w:r>
    </w:p>
    <w:p>
      <w:bookmarkStart w:id="159" w:name="sec159"/>
      <w:pPr>
        <w:pStyle w:val="Heading3"/>
      </w:pPr>
      <w:r>
        <w:t>09 免疫与病因检查</w:t>
      </w:r>
      <w:bookmarkEnd w:id="159"/>
    </w:p>
    <w:p>
      <w:r>
        <w:t>无免疫线索不机械做全套。申请不证明结果已回。</w:t>
      </w:r>
    </w:p>
    <w:p>
      <w:bookmarkStart w:id="161" w:name="sec161"/>
      <w:pPr>
        <w:pStyle w:val="Heading3"/>
      </w:pPr>
      <w:r>
        <w:t>10 病理或替代性专科证据</w:t>
      </w:r>
      <w:bookmarkEnd w:id="161"/>
    </w:p>
    <w:p>
      <w:r>
        <w:t>不常规以肾活检确诊典型ADPKD；不编基因报告。按实际适用性替换，不强迫不必要操作。</w:t>
      </w:r>
    </w:p>
    <w:p>
      <w:bookmarkStart w:id="163" w:name="sec163"/>
      <w:pPr>
        <w:pStyle w:val="Heading3"/>
      </w:pPr>
      <w:r>
        <w:t>11 诊断标准</w:t>
      </w:r>
      <w:bookmarkEnd w:id="163"/>
    </w:p>
    <w:p>
      <w:r>
        <w:t>孤立囊肿不能直接确诊；阴性家族史不绝对排除。标准不完整时保持待明确，不用模板强行确诊。</w:t>
      </w:r>
    </w:p>
    <w:p>
      <w:bookmarkStart w:id="165" w:name="sec165"/>
      <w:pPr>
        <w:pStyle w:val="Heading3"/>
      </w:pPr>
      <w:r>
        <w:t>12 诊断依据</w:t>
      </w:r>
      <w:bookmarkEnd w:id="165"/>
    </w:p>
    <w:p>
      <w:r>
        <w:t>将本患者关于血尿蛋白及培养如感染线索、eGFR趋势和并发症，肌酐不决定基因型及相关病史逐项对应于诊断；列支持、反对及未获得证据。</w:t>
      </w:r>
    </w:p>
    <w:p>
      <w:bookmarkStart w:id="167" w:name="sec167"/>
      <w:pPr>
        <w:pStyle w:val="Heading3"/>
      </w:pPr>
      <w:r>
        <w:t>13 鉴别诊断</w:t>
      </w:r>
      <w:bookmarkEnd w:id="167"/>
    </w:p>
    <w:p>
      <w:r>
        <w:t>其他囊性病、单纯囊肿、先天结构异常。对本例逐项说明支持、反对及下一步，不机械宣称排除。</w:t>
      </w:r>
    </w:p>
    <w:p>
      <w:bookmarkStart w:id="169" w:name="sec169"/>
      <w:pPr>
        <w:pStyle w:val="Heading3"/>
      </w:pPr>
      <w:r>
        <w:t>14 分型与分期</w:t>
      </w:r>
      <w:bookmarkEnd w:id="169"/>
    </w:p>
    <w:p>
      <w:r>
        <w:t>进展风险模型影像指标和肾外风险分别表述。无完整变量不补分型、评分或风险百分数。</w:t>
      </w:r>
    </w:p>
    <w:p>
      <w:bookmarkStart w:id="171" w:name="sec171"/>
      <w:pPr>
        <w:pStyle w:val="Heading3"/>
      </w:pPr>
      <w:r>
        <w:t>15 危险分层</w:t>
      </w:r>
      <w:bookmarkEnd w:id="171"/>
    </w:p>
    <w:p>
      <w:r>
        <w:t>囊肿出血感染、结石、进展及相关肾外风险。潜在风险与已经发生的并发症分开。</w:t>
      </w:r>
    </w:p>
    <w:p>
      <w:bookmarkStart w:id="173" w:name="sec173"/>
      <w:pPr>
        <w:pStyle w:val="Heading3"/>
      </w:pPr>
      <w:r>
        <w:t>16 肾功能动态评价</w:t>
      </w:r>
      <w:bookmarkEnd w:id="173"/>
    </w:p>
    <w:p>
      <w:r>
        <w:t>eGFR趋势和并发症，肌酐不决定基因型；透析后降低、尿量受利尿影响、跨日基线均说明限制。</w:t>
      </w:r>
    </w:p>
    <w:p>
      <w:bookmarkStart w:id="175" w:name="sec175"/>
      <w:pPr>
        <w:pStyle w:val="Heading3"/>
      </w:pPr>
      <w:r>
        <w:t>17 治疗原则</w:t>
      </w:r>
      <w:bookmarkEnd w:id="175"/>
    </w:p>
    <w:p>
      <w:r>
        <w:t>2025指南评估血压肾保护、疾病修饰适用性和安全监测。医师建议、已开处方和实际执行分别表达。</w:t>
      </w:r>
    </w:p>
    <w:p>
      <w:bookmarkStart w:id="177" w:name="sec177"/>
      <w:pPr>
        <w:pStyle w:val="Heading3"/>
      </w:pPr>
      <w:r>
        <w:t>18 肾脏替代或特殊治疗评估</w:t>
      </w:r>
      <w:bookmarkEnd w:id="177"/>
    </w:p>
    <w:p>
      <w:r>
        <w:t>评估当前容量、钾、酸碱及尿毒症等器官危险和治疗目标，由真实团队决定方式及时机；仅肌酐升高不自动触发透析。对已在RRT者核每次执行和残肾；特殊人群由相应团队协作。</w:t>
      </w:r>
    </w:p>
    <w:p>
      <w:bookmarkStart w:id="179" w:name="sec179"/>
      <w:pPr>
        <w:pStyle w:val="Heading3"/>
      </w:pPr>
      <w:r>
        <w:t>19 药物管理</w:t>
      </w:r>
      <w:bookmarkEnd w:id="179"/>
    </w:p>
    <w:p>
      <w:r>
        <w:t>2025指南评估血压肾保护、疾病修饰适用性和安全监测；核肾功能适用、感染出血及停复。真实剂量途径频次来自医嘱和执行，不由AI补造。</w:t>
      </w:r>
    </w:p>
    <w:p>
      <w:bookmarkStart w:id="181" w:name="sec181"/>
      <w:pPr>
        <w:pStyle w:val="Heading3"/>
      </w:pPr>
      <w:r>
        <w:t>20 并发症</w:t>
      </w:r>
      <w:bookmarkEnd w:id="181"/>
    </w:p>
    <w:p>
      <w:r>
        <w:t>囊肿出血感染、结石、进展及相关肾外风险。若出现异常转06，记录事件时刻、实际措施及复评。</w:t>
      </w:r>
    </w:p>
    <w:p>
      <w:bookmarkStart w:id="183" w:name="sec183"/>
      <w:pPr>
        <w:pStyle w:val="Heading3"/>
      </w:pPr>
      <w:r>
        <w:t>21 首次病程</w:t>
      </w:r>
      <w:bookmarkEnd w:id="183"/>
    </w:p>
    <w:p>
      <w:pPr>
        <w:keepNext/>
      </w:pPr>
      <w:r>
        <w:t>【真实记录日期及时间】 首次病程</w:t>
      </w:r>
    </w:p>
    <w:p>
      <w:pPr>
        <w:keepNext/>
      </w:pPr>
      <w:r>
        <w:t>```text</w:t>
      </w:r>
    </w:p>
    <w:p>
      <w:pPr>
        <w:keepNext/>
        <w:keepLines/>
        <w:spacing w:after="0" w:line="252" w:lineRule="auto"/>
      </w:pPr>
      <w:r>
        <w:t>病例特点：【本例病史、实查和检查】</w:t>
      </w:r>
    </w:p>
    <w:p>
      <w:pPr>
        <w:keepNext/>
        <w:keepLines/>
        <w:spacing w:after="0" w:line="252" w:lineRule="auto"/>
      </w:pPr>
      <w:r>
        <w:t>初步诊断及依据：【满足本路径标准的真实项目与缺口】</w:t>
      </w:r>
    </w:p>
    <w:p>
      <w:pPr>
        <w:keepNext/>
        <w:keepLines/>
        <w:spacing w:after="0" w:line="252" w:lineRule="auto"/>
      </w:pPr>
      <w:r>
        <w:t>鉴别诊断：【针对本例其他囊性病、单纯囊肿、先天结构异常的支持反对】</w:t>
      </w:r>
    </w:p>
    <w:p>
      <w:pPr>
        <w:keepNext/>
        <w:keepLines/>
        <w:spacing w:after="0" w:line="252" w:lineRule="auto"/>
      </w:pPr>
      <w:r>
        <w:t>风险及计划：【真实医师对囊肿出血感染、结石、进展及相关肾外风险的评估及安排】。</w:t>
      </w:r>
    </w:p>
    <w:p>
      <w:r>
        <w:t>```</w:t>
      </w:r>
    </w:p>
    <w:p>
      <w:bookmarkStart w:id="185" w:name="sec185"/>
      <w:pPr>
        <w:pStyle w:val="Heading3"/>
      </w:pPr>
      <w:r>
        <w:t>22 日常病程</w:t>
      </w:r>
      <w:bookmarkEnd w:id="185"/>
    </w:p>
    <w:p>
      <w:pPr>
        <w:keepNext/>
      </w:pPr>
      <w:r>
        <w:t>【真实记录日期及时间】 日常病程</w:t>
      </w:r>
    </w:p>
    <w:p>
      <w:pPr>
        <w:keepNext/>
      </w:pPr>
      <w:r>
        <w:t>```text</w:t>
      </w:r>
    </w:p>
    <w:p>
      <w:pPr>
        <w:keepNext/>
        <w:keepLines/>
        <w:spacing w:after="0" w:line="252" w:lineRule="auto"/>
      </w:pPr>
      <w:r>
        <w:t>患者今日【真实变化】，查体【与血压容量腹部及疼痛体征相关的当次实查】，检查【实际日期及eGFR趋势和并发症，肌酐不决定基因型的结果】。目前【诊断确定度和真实阶段】，已实施【治疗执行与反应】，后续【围绕肾功能血压影像按风险，家系和生育咨询需真实沟通的真实计划】。</w:t>
      </w:r>
    </w:p>
    <w:p>
      <w:r>
        <w:t>```</w:t>
      </w:r>
    </w:p>
    <w:p>
      <w:bookmarkStart w:id="187" w:name="sec187"/>
      <w:pPr>
        <w:pStyle w:val="Heading3"/>
      </w:pPr>
      <w:r>
        <w:t>23 主治医师查房</w:t>
      </w:r>
      <w:bookmarkEnd w:id="187"/>
    </w:p>
    <w:p>
      <w:pPr>
        <w:keepNext/>
      </w:pPr>
      <w:r>
        <w:t>【真实记录日期及时间】 主治医师查房</w:t>
      </w:r>
    </w:p>
    <w:p>
      <w:pPr>
        <w:keepNext/>
      </w:pPr>
      <w:r>
        <w:t>```text</w:t>
      </w:r>
    </w:p>
    <w:p>
      <w:pPr>
        <w:keepNext/>
        <w:keepLines/>
        <w:spacing w:after="0" w:line="252" w:lineRule="auto"/>
      </w:pPr>
      <w:r>
        <w:t>今日随【真实姓名】主治医师查房，患者【真实症状】，实查及检查【当次资料】。主治医师分析【当日eGFR趋势和并发症，肌酐不决定基因型、尿量容量及实际治疗执行的真实意见】，后续【近期监测】。</w:t>
      </w:r>
    </w:p>
    <w:p>
      <w:r>
        <w:t>```</w:t>
      </w:r>
    </w:p>
    <w:p>
      <w:bookmarkStart w:id="189" w:name="sec189"/>
      <w:pPr>
        <w:pStyle w:val="Heading3"/>
      </w:pPr>
      <w:r>
        <w:t>24 副主任医师查房</w:t>
      </w:r>
      <w:bookmarkEnd w:id="189"/>
    </w:p>
    <w:p>
      <w:pPr>
        <w:keepNext/>
      </w:pPr>
      <w:r>
        <w:t>【真实记录日期及时间】 副主任医师查房</w:t>
      </w:r>
    </w:p>
    <w:p>
      <w:pPr>
        <w:keepNext/>
      </w:pPr>
      <w:r>
        <w:t>```text</w:t>
      </w:r>
    </w:p>
    <w:p>
      <w:pPr>
        <w:keepNext/>
        <w:keepLines/>
        <w:spacing w:after="0" w:line="252" w:lineRule="auto"/>
      </w:pPr>
      <w:r>
        <w:t>今日随【真实姓名】副主任医师查房，患者【真实变化】，检查及实查【资料】。副主任医师分析【对孤立囊肿不能直接确诊；阴性家族史不绝对排除与其他囊性病、单纯囊肿、先天结构异常的真实复核，及治疗优化意见】，下一步【真实计划】。</w:t>
      </w:r>
    </w:p>
    <w:p>
      <w:r>
        <w:t>```</w:t>
      </w:r>
    </w:p>
    <w:p>
      <w:bookmarkStart w:id="191" w:name="sec191"/>
      <w:pPr>
        <w:pStyle w:val="Heading3"/>
      </w:pPr>
      <w:r>
        <w:t>25 主任医师查房</w:t>
      </w:r>
      <w:bookmarkEnd w:id="191"/>
    </w:p>
    <w:p>
      <w:pPr>
        <w:keepNext/>
      </w:pPr>
      <w:r>
        <w:t>【真实记录日期及时间】 主任医师查房</w:t>
      </w:r>
    </w:p>
    <w:p>
      <w:pPr>
        <w:keepNext/>
      </w:pPr>
      <w:r>
        <w:t>```text</w:t>
      </w:r>
    </w:p>
    <w:p>
      <w:pPr>
        <w:keepNext/>
        <w:keepLines/>
        <w:spacing w:after="0" w:line="252" w:lineRule="auto"/>
      </w:pPr>
      <w:r>
        <w:t>今日随【真实姓名】主任医师查房，患者【真实病情】，实查和检查【资料】。主任医师分析【本例ADPKD及遗传性肾病评估的复杂证据、2025指南评估血压肾保护、疾病修饰适用性和安全监测的重大权衡及囊肿出血感染、结石、进展及相关肾外风险与长期预后】，后续【真实决策】。</w:t>
      </w:r>
    </w:p>
    <w:p>
      <w:r>
        <w:t>```</w:t>
      </w:r>
    </w:p>
    <w:p>
      <w:bookmarkStart w:id="193" w:name="sec193"/>
      <w:pPr>
        <w:pStyle w:val="Heading3"/>
      </w:pPr>
      <w:r>
        <w:t>26 特殊操作前后病程</w:t>
      </w:r>
      <w:bookmarkEnd w:id="193"/>
    </w:p>
    <w:p>
      <w:pPr>
        <w:keepNext/>
      </w:pPr>
      <w:r>
        <w:t>【真实记录日期及时间】 特殊操作前后病程</w:t>
      </w:r>
    </w:p>
    <w:p>
      <w:pPr>
        <w:keepNext/>
      </w:pPr>
      <w:r>
        <w:t>```text</w:t>
      </w:r>
    </w:p>
    <w:p>
      <w:pPr>
        <w:keepNext/>
        <w:keepLines/>
        <w:spacing w:after="0" w:line="252" w:lineRule="auto"/>
      </w:pPr>
      <w:r>
        <w:t>本次【真实操作或RRT事件】目前【拟定、已开始、完成或中断状态】，依据【实际评估】，操作执行【原始记录】，当前【实测反应】，检查【已回资料】，后续【医师计划】。未实际发生操作时仅记录评估，不生成术后事实。</w:t>
      </w:r>
    </w:p>
    <w:p>
      <w:r>
        <w:t>```</w:t>
      </w:r>
    </w:p>
    <w:p>
      <w:bookmarkStart w:id="195" w:name="sec195"/>
      <w:pPr>
        <w:pStyle w:val="Heading3"/>
      </w:pPr>
      <w:r>
        <w:t>27 治疗调整病程</w:t>
      </w:r>
      <w:bookmarkEnd w:id="195"/>
    </w:p>
    <w:p>
      <w:pPr>
        <w:keepNext/>
      </w:pPr>
      <w:r>
        <w:t>【真实记录日期及时间】 治疗调整病程</w:t>
      </w:r>
    </w:p>
    <w:p>
      <w:pPr>
        <w:keepNext/>
      </w:pPr>
      <w:r>
        <w:t>```text</w:t>
      </w:r>
    </w:p>
    <w:p>
      <w:pPr>
        <w:keepNext/>
        <w:keepLines/>
        <w:spacing w:after="0" w:line="252" w:lineRule="auto"/>
      </w:pPr>
      <w:r>
        <w:t>针对【实际问题和变化】，医师决定【有关2025指南评估血压肾保护、疾病修饰适用性和安全监测的真实调整】，医嘱【状态】，实际执行【来源】，反应及停复【事实】，后续【真实复查安排】。</w:t>
      </w:r>
    </w:p>
    <w:p>
      <w:r>
        <w:t>```</w:t>
      </w:r>
    </w:p>
    <w:p>
      <w:bookmarkStart w:id="197" w:name="sec197"/>
      <w:pPr>
        <w:pStyle w:val="Heading3"/>
      </w:pPr>
      <w:r>
        <w:t>28 异常病程</w:t>
      </w:r>
      <w:bookmarkEnd w:id="197"/>
    </w:p>
    <w:p>
      <w:pPr>
        <w:keepNext/>
      </w:pPr>
      <w:r>
        <w:t>【真实记录日期及时间】 异常病程</w:t>
      </w:r>
    </w:p>
    <w:p>
      <w:pPr>
        <w:keepNext/>
      </w:pPr>
      <w:r>
        <w:t>```text</w:t>
      </w:r>
    </w:p>
    <w:p>
      <w:pPr>
        <w:keepNext/>
        <w:keepLines/>
        <w:spacing w:after="0" w:line="252" w:lineRule="auto"/>
      </w:pPr>
      <w:r>
        <w:t>于【真实时点】发生【症状或异常】，当时【生命体征和关键检查】，考虑【与囊肿出血感染、结石、进展及相关肾外风险相关的判断及确定度】，已采取【实际措施时间】，复评【结果】，后续【现场团队安排】。</w:t>
      </w:r>
    </w:p>
    <w:p>
      <w:r>
        <w:t>```</w:t>
      </w:r>
    </w:p>
    <w:p>
      <w:bookmarkStart w:id="199" w:name="sec199"/>
      <w:pPr>
        <w:pStyle w:val="Heading3"/>
      </w:pPr>
      <w:r>
        <w:t>29 出院记录</w:t>
      </w:r>
      <w:bookmarkEnd w:id="199"/>
    </w:p>
    <w:p>
      <w:pPr>
        <w:keepNext/>
      </w:pPr>
      <w:r>
        <w:t>【真实记录日期及时间】 出院记录</w:t>
      </w:r>
    </w:p>
    <w:p>
      <w:pPr>
        <w:keepNext/>
      </w:pPr>
      <w:r>
        <w:t>```text</w:t>
      </w:r>
    </w:p>
    <w:p>
      <w:pPr>
        <w:keepNext/>
        <w:keepLines/>
        <w:spacing w:after="0" w:line="252" w:lineRule="auto"/>
      </w:pPr>
      <w:r>
        <w:t>入院情况：【真实内容】</w:t>
      </w:r>
    </w:p>
    <w:p>
      <w:pPr>
        <w:keepNext/>
        <w:keepLines/>
        <w:spacing w:after="0" w:line="252" w:lineRule="auto"/>
      </w:pPr>
      <w:r>
        <w:t>诊疗经过：【ADPKD及遗传性肾病评估证据演变及每次实际治疗】</w:t>
      </w:r>
    </w:p>
    <w:p>
      <w:pPr>
        <w:keepNext/>
        <w:keepLines/>
        <w:spacing w:after="0" w:line="252" w:lineRule="auto"/>
      </w:pPr>
      <w:r>
        <w:t>出院诊断：【确定度和最终依据】</w:t>
      </w:r>
    </w:p>
    <w:p>
      <w:pPr>
        <w:keepNext/>
        <w:keepLines/>
        <w:spacing w:after="0" w:line="252" w:lineRule="auto"/>
      </w:pPr>
      <w:r>
        <w:t>出院情况：【实查肾功能、容量和遗留问题】</w:t>
      </w:r>
    </w:p>
    <w:p>
      <w:pPr>
        <w:keepNext/>
        <w:keepLines/>
        <w:spacing w:after="0" w:line="252" w:lineRule="auto"/>
      </w:pPr>
      <w:r>
        <w:t>出院计划：【真实带药、治疗与肾功能血压影像按风险，家系和生育咨询需真实沟通】。</w:t>
      </w:r>
    </w:p>
    <w:p>
      <w:r>
        <w:t>```</w:t>
      </w:r>
    </w:p>
    <w:p>
      <w:bookmarkStart w:id="201" w:name="sec201"/>
      <w:pPr>
        <w:pStyle w:val="Heading3"/>
      </w:pPr>
      <w:r>
        <w:t>30 出院医嘱</w:t>
      </w:r>
      <w:bookmarkEnd w:id="201"/>
    </w:p>
    <w:p>
      <w:pPr>
        <w:keepNext/>
      </w:pPr>
      <w:r>
        <w:t>【真实记录日期及时间】 出院医嘱</w:t>
      </w:r>
    </w:p>
    <w:p>
      <w:pPr>
        <w:keepNext/>
      </w:pPr>
      <w:r>
        <w:t>```text</w:t>
      </w:r>
    </w:p>
    <w:p>
      <w:pPr>
        <w:keepNext/>
        <w:keepLines/>
        <w:spacing w:after="0" w:line="252" w:lineRule="auto"/>
      </w:pPr>
      <w:r>
        <w:t>药物及停复：【真实审核处方和条件】</w:t>
      </w:r>
    </w:p>
    <w:p>
      <w:pPr>
        <w:keepNext/>
        <w:keepLines/>
        <w:spacing w:after="0" w:line="252" w:lineRule="auto"/>
      </w:pPr>
      <w:r>
        <w:t>治疗方式和通路：【适用且已确认安排】</w:t>
      </w:r>
    </w:p>
    <w:p>
      <w:pPr>
        <w:keepNext/>
        <w:keepLines/>
        <w:spacing w:after="0" w:line="252" w:lineRule="auto"/>
      </w:pPr>
      <w:r>
        <w:t>复查及待回报：【围绕肾功能血压影像按风险，家系和生育咨询需真实沟通的实际日期项目责任】</w:t>
      </w:r>
    </w:p>
    <w:p>
      <w:pPr>
        <w:keepNext/>
        <w:keepLines/>
        <w:spacing w:after="0" w:line="252" w:lineRule="auto"/>
      </w:pPr>
      <w:r>
        <w:t>警示症状：【与囊肿出血感染、结石、进展及相关肾外风险相关且已真实交代的内容】。</w:t>
      </w:r>
    </w:p>
    <w:p>
      <w:r>
        <w:t>```</w:t>
      </w:r>
    </w:p>
    <w:p>
      <w:bookmarkStart w:id="203" w:name="sec203"/>
      <w:pPr>
        <w:pStyle w:val="Heading3"/>
      </w:pPr>
      <w:r>
        <w:t>31 长期随访</w:t>
      </w:r>
      <w:bookmarkEnd w:id="203"/>
    </w:p>
    <w:p>
      <w:r>
        <w:t>肾功能血压影像按风险，家系和生育咨询需真实沟通。记录真实预约和实际完成，不把计划写完成。</w:t>
      </w:r>
    </w:p>
    <w:p>
      <w:bookmarkStart w:id="205" w:name="sec205"/>
      <w:pPr>
        <w:pStyle w:val="Heading3"/>
      </w:pPr>
      <w:r>
        <w:t>32 最终质控</w:t>
      </w:r>
      <w:bookmarkEnd w:id="205"/>
    </w:p>
    <w:p>
      <w:r>
        <w:t>孤立囊肿不能直接确诊；阴性家族史不绝对排除；核每次诊断、检查可知时间、实际执行和不常规以肾活检确诊典型ADPKD；不编基因报告的证据边界，按10终审。</w:t>
      </w:r>
    </w:p>
    <w:p>
      <w:bookmarkStart w:id="207" w:name="sec207"/>
      <w:pPr>
        <w:pStyle w:val="Heading3"/>
      </w:pPr>
      <w:r>
        <w:t>33 参考指南与版本</w:t>
      </w:r>
      <w:bookmarkEnd w:id="207"/>
    </w:p>
    <w:p>
      <w:r>
        <w:t>采用文末R05、R06、R11的相应正式版本和适用人群。主路径是文书组织，不将所有提示宣称为指南分级推荐；具体推荐及药物使用需实际查原文和本院规范。</w:t>
      </w:r>
    </w:p>
    <w:p>
      <w:bookmarkStart w:id="209" w:name="sec209"/>
      <w:pPr>
        <w:pStyle w:val="Heading1"/>
      </w:pPr>
      <w:r>
        <w:t>相关疾病和治疗分支的差异化调用</w:t>
      </w:r>
      <w:bookmarkEnd w:id="209"/>
    </w:p>
    <w:p>
      <w:bookmarkStart w:id="210" w:name="sec210"/>
      <w:pPr>
        <w:pStyle w:val="Heading2"/>
      </w:pPr>
      <w:r>
        <w:t>Alport及薄基底膜及遗传</w:t>
      </w:r>
      <w:bookmarkEnd w:id="210"/>
    </w:p>
    <w:p>
      <w:r>
        <w:t>家族、听视器官、EM及实际基因证据，薄基底膜描述不能自动证明良性或确定基因。 同时继承上述必要资料、文书及真实性合同；仅在该分支确实适用时调用，不把它当已确诊事实。</w:t>
      </w:r>
    </w:p>
    <w:p>
      <w:bookmarkStart w:id="212" w:name="sec212"/>
      <w:pPr>
        <w:pStyle w:val="Heading2"/>
      </w:pPr>
      <w:r>
        <w:t>Fanconi及失盐及电解质</w:t>
      </w:r>
      <w:bookmarkEnd w:id="212"/>
    </w:p>
    <w:p>
      <w:r>
        <w:t>多项近端小管丢失与血尿配对解释，容量和药物背景，单一尿糖不足。 同时继承上述必要资料、文书及真实性合同；仅在该分支确实适用时调用，不把它当已确诊事实。</w:t>
      </w:r>
    </w:p>
    <w:p>
      <w:bookmarkStart w:id="214" w:name="sec214"/>
      <w:pPr>
        <w:pStyle w:val="Heading2"/>
      </w:pPr>
      <w:r>
        <w:t>动脉及缺血及高血压及血管</w:t>
      </w:r>
      <w:bookmarkEnd w:id="214"/>
    </w:p>
    <w:p>
      <w:r>
        <w:t>血压、影像与肾功能因果分开，狭窄发现不等需介入；由相关团队权衡。 同时继承上述必要资料、文书及真实性合同；仅在该分支确实适用时调用，不把它当已确诊事实。</w:t>
      </w:r>
    </w:p>
    <w:p>
      <w:bookmarkStart w:id="216" w:name="sec216"/>
      <w:pPr>
        <w:pStyle w:val="Heading2"/>
      </w:pPr>
      <w:r>
        <w:t>静脉血栓</w:t>
      </w:r>
      <w:bookmarkEnd w:id="216"/>
    </w:p>
    <w:p>
      <w:r>
        <w:t>症状、血栓风险及实际影像，不能由肾病综合征直接确定血栓。 同时继承上述必要资料、文书及真实性合同；仅在该分支确实适用时调用，不把它当已确诊事实。</w:t>
      </w:r>
    </w:p>
    <w:p>
      <w:bookmarkStart w:id="218" w:name="sec218"/>
      <w:pPr>
        <w:pStyle w:val="Heading2"/>
      </w:pPr>
      <w:r>
        <w:t>梗阻及肾盂及先天</w:t>
      </w:r>
      <w:bookmarkEnd w:id="218"/>
    </w:p>
    <w:p>
      <w:r>
        <w:t>结构、感染和排尿功能分开；泌尿外科操作仅据实际记录。 同时继承上述必要资料、文书及真实性合同；仅在该分支确实适用时调用，不把它当已确诊事实。</w:t>
      </w:r>
    </w:p>
    <w:p>
      <w:bookmarkStart w:id="220" w:name="sec220"/>
      <w:pPr>
        <w:pStyle w:val="Heading1"/>
      </w:pPr>
      <w:r>
        <w:t>原始需求覆盖索引</w:t>
      </w:r>
      <w:bookmarkEnd w:id="220"/>
    </w:p>
    <w:p>
      <w:r>
        <w:t>1. 急性间质性肾炎。</w:t>
      </w:r>
    </w:p>
    <w:p>
      <w:r>
        <w:t>2. 慢性间质性肾炎。</w:t>
      </w:r>
    </w:p>
    <w:p>
      <w:r>
        <w:t>3. 药物相关肾小管间质损伤。</w:t>
      </w:r>
    </w:p>
    <w:p>
      <w:r>
        <w:t>4. 肾小管酸中毒。</w:t>
      </w:r>
    </w:p>
    <w:p>
      <w:r>
        <w:t>5. 肾性电解质异常。</w:t>
      </w:r>
    </w:p>
    <w:p>
      <w:r>
        <w:t>6. 肾性失盐相关疾病。</w:t>
      </w:r>
    </w:p>
    <w:p>
      <w:r>
        <w:t>7. 遗传性肾小管疾病。</w:t>
      </w:r>
    </w:p>
    <w:p>
      <w:r>
        <w:t>8. Fanconi综合征相关病例。</w:t>
      </w:r>
    </w:p>
    <w:p>
      <w:r>
        <w:t>9. 多囊肾病。</w:t>
      </w:r>
    </w:p>
    <w:p>
      <w:r>
        <w:t>10. 常染色体显性多囊肾病。</w:t>
      </w:r>
    </w:p>
    <w:p>
      <w:r>
        <w:t>11. Alport综合征。</w:t>
      </w:r>
    </w:p>
    <w:p>
      <w:r>
        <w:t>12. 薄基底膜相关肾病。</w:t>
      </w:r>
    </w:p>
    <w:p>
      <w:r>
        <w:t>13. 其他遗传性肾病。</w:t>
      </w:r>
    </w:p>
    <w:p>
      <w:r>
        <w:t>14. 肾动脉狭窄。</w:t>
      </w:r>
    </w:p>
    <w:p>
      <w:r>
        <w:t>15. 缺血性肾脏病。</w:t>
      </w:r>
    </w:p>
    <w:p>
      <w:r>
        <w:t>16. 高血压相关肾损害。</w:t>
      </w:r>
    </w:p>
    <w:p>
      <w:r>
        <w:t>17. 肾血管性高血压。</w:t>
      </w:r>
    </w:p>
    <w:p>
      <w:r>
        <w:t>18. 肾静脉血栓相关肾脏问题。</w:t>
      </w:r>
    </w:p>
    <w:p>
      <w:r>
        <w:t>19. 梗阻性肾病。</w:t>
      </w:r>
    </w:p>
    <w:p>
      <w:r>
        <w:t>20. 慢性肾盂肾炎相关病例。</w:t>
      </w:r>
    </w:p>
    <w:p>
      <w:r>
        <w:t>21. 肾脏先天性发育异常相关内科问题。</w:t>
      </w:r>
    </w:p>
    <w:p>
      <w:r>
        <w:t>22. 复杂肾小管间质病及遗传病随访。</w:t>
      </w:r>
    </w:p>
    <w:p>
      <w:bookmarkStart w:id="243" w:name="sec243"/>
      <w:pPr>
        <w:pStyle w:val="Heading1"/>
      </w:pPr>
      <w:r>
        <w:t>虚构病例与完整示范</w:t>
      </w:r>
      <w:bookmarkEnd w:id="243"/>
    </w:p>
    <w:p>
      <w:r>
        <w:t>以下为虚构病例，不进入真实患者事实。输入：N21/E1；超声多发囊肿；家族和基因未知。</w:t>
      </w:r>
    </w:p>
    <w:p>
      <w:pPr>
        <w:keepNext/>
      </w:pPr>
      <w:r>
        <w:t>2026年10月29日 09:00 多囊肾首次</w:t>
      </w:r>
    </w:p>
    <w:p>
      <w:pPr>
        <w:keepNext/>
      </w:pPr>
      <w:r>
        <w:t>```text</w:t>
      </w:r>
    </w:p>
    <w:p>
      <w:pPr>
        <w:keepNext/>
        <w:keepLines/>
        <w:spacing w:after="0" w:line="252" w:lineRule="auto"/>
      </w:pPr>
      <w:r>
        <w:t>超声提示双肾多发囊肿，需结合年龄、影像特点和家族资料鉴别遗传性囊性肾病。家族及基因结果未提供，不能补写ADPKD基因型。</w:t>
      </w:r>
    </w:p>
    <w:p>
      <w:r>
        <w:t>```</w:t>
      </w:r>
    </w:p>
    <w:p>
      <w:r>
        <w:t>核查重点：形成示例正文；必保留事实：囊肿、未提供、不能。详见10静态模拟案例21。</w:t>
      </w:r>
    </w:p>
    <w:p>
      <w:bookmarkStart w:id="247" w:name="sec247"/>
      <w:pPr>
        <w:pStyle w:val="Heading1"/>
      </w:pPr>
      <w:r>
        <w:t>真实性边界与常见错误</w:t>
      </w:r>
      <w:bookmarkEnd w:id="247"/>
    </w:p>
    <w:p>
      <w:r>
        <w:t>日期、时间、文书标题及真实医师姓名职称置于代码框外；每份正式正文放在独立 Markdown text 代码框内。框内仅放医学正文，不重复题头，不加“医学文书正文”、AI说明或未替换变量。日常病程及三级查房为连续完整一段，不分条、不空行、不加多余空格。入院、首次病程、操作、抢救、讨论和出院可按固定栏目组织；真实采样、治疗及抢救事件时间在正文保留。关键冲突在框外列核实项，不能生成未经核实的受影响净稿。</w:t>
      </w:r>
    </w:p>
    <w:p>
      <w:r>
        <w:t>知识、建议、医师计划、已开医嘱、已开始、已完成、暂停、停止、取消与恢复各有独立来源。不得从相邻状态推定实施，不从常见路径补写剂量、操作细节或疗效。</w:t>
      </w:r>
    </w:p>
    <w:p>
      <w:r>
        <w:t>常见错误：基线不明强分期；旧查体写今日；未来病理倒灌；目标超滤写实际；透析净量重复计入；只有医嘱却写给药；用职称代替真实查房决策。</w:t>
      </w:r>
    </w:p>
    <w:p>
      <w:bookmarkStart w:id="251" w:name="sec251"/>
      <w:pPr>
        <w:pStyle w:val="Heading1"/>
      </w:pPr>
      <w:r>
        <w:t>最终核对及协同</w:t>
      </w:r>
      <w:bookmarkEnd w:id="251"/>
    </w:p>
    <w:p>
      <w:r>
        <w:t>01 身份及本次住院一致。不适用者说明原因；不能以不适用掩盖应核实的重要事实。</w:t>
      </w:r>
    </w:p>
    <w:p>
      <w:r>
        <w:t>02 采样与可知时间正确。不适用者说明原因；不能以不适用掩盖应核实的重要事实。</w:t>
      </w:r>
    </w:p>
    <w:p>
      <w:r>
        <w:t>03 单位方法可比且基线有来源。不适用者说明原因；不能以不适用掩盖应核实的重要事实。</w:t>
      </w:r>
    </w:p>
    <w:p>
      <w:r>
        <w:t>04 诊断证据与确定度相符。不适用者说明原因；不能以不适用掩盖应核实的重要事实。</w:t>
      </w:r>
    </w:p>
    <w:p>
      <w:r>
        <w:t>05 尿量统计完整并明确区间。不适用者说明原因；不能以不适用掩盖应核实的重要事实。</w:t>
      </w:r>
    </w:p>
    <w:p>
      <w:r>
        <w:t>06 容量及超滤不重复。不适用者说明原因；不能以不适用掩盖应核实的重要事实。</w:t>
      </w:r>
    </w:p>
    <w:p>
      <w:r>
        <w:t>07 病理阶段和报告归属正确。不适用者说明原因；不能以不适用掩盖应核实的重要事实。</w:t>
      </w:r>
    </w:p>
    <w:p>
      <w:r>
        <w:t>08 药物医嘱与执行分开。不适用者说明原因；不能以不适用掩盖应核实的重要事实。</w:t>
      </w:r>
    </w:p>
    <w:p>
      <w:r>
        <w:t>09 每次透析和通路独立。不适用者说明原因；不能以不适用掩盖应核实的重要事实。</w:t>
      </w:r>
    </w:p>
    <w:p>
      <w:r>
        <w:t>10 真实医师意见可追溯。不适用者说明原因；不能以不适用掩盖应核实的重要事实。</w:t>
      </w:r>
    </w:p>
    <w:p>
      <w:r>
        <w:t>11 未替换占位符清零。不适用者说明原因；不能以不适用掩盖应核实的重要事实。</w:t>
      </w:r>
    </w:p>
    <w:p>
      <w:r>
        <w:t>12 题头与代码框及单段正确。不适用者说明原因；不能以不适用掩盖应核实的重要事实。</w:t>
      </w:r>
    </w:p>
    <w:p>
      <w:r>
        <w:t>00识别任务，01约束，11核病例状态；02组织文书，03实查容量，04检查与病理，05操作，06异常，07治疗，08真实层级意见，09长期管理，101—108提供疾病分支，10终审。仅加载实际相关模块。</w:t>
      </w:r>
    </w:p>
    <w:p>
      <w:bookmarkStart w:id="265" w:name="sec265"/>
      <w:pPr>
        <w:pStyle w:val="Heading1"/>
      </w:pPr>
      <w:r>
        <w:t>参考依据与版本维护</w:t>
      </w:r>
      <w:bookmarkEnd w:id="265"/>
    </w:p>
    <w:p>
      <w:r>
        <w:t>[R01] 病历书写基本规范。原卫生部，2010正式。适用：住院及门急诊文书。核验日期2026年10月29日；核验范围为发布状态及本模块引用规则，不代表所有推荐已逐条审查。</w:t>
      </w:r>
    </w:p>
    <w:p>
      <w:r>
        <w:t>https://www.nhc.gov.cn/wjw/c100175/201002/b1bec53d90f243e0861529723f00221a.shtml</w:t>
      </w:r>
    </w:p>
    <w:p>
      <w:r>
        <w:t>[R02] 医疗质量安全核心制度要点。国家卫生健康委，2018正式。适用：医疗质量管理。核验日期2026年10月29日；核验范围为发布状态及本模块引用规则，不代表所有推荐已逐条审查。</w:t>
      </w:r>
    </w:p>
    <w:p>
      <w:r>
        <w:t>https://www.nhc.gov.cn/yzygj/c100068/201804/42ab2552298047679cd6ec733f233862.shtml</w:t>
      </w:r>
    </w:p>
    <w:p>
      <w:r>
        <w:t>[R05] CKD Evaluation and Management。KDIGO，2024正式。适用：成人及指南相应儿童CKD章节。核验日期2026年10月29日；核验范围为发布状态及本模块引用规则，不代表所有推荐已逐条审查。</w:t>
      </w:r>
    </w:p>
    <w:p>
      <w:r>
        <w:t>https://kdigo.org/wp-content/uploads/2024/03/KDIGO-2024-CKD-Guideline.pdf</w:t>
      </w:r>
    </w:p>
    <w:p>
      <w:r>
        <w:t>[R06] Acute Kidney Injury。KDIGO，2012正式。适用：AKI定义分期和肾脏替代治疗。核验日期2026年10月29日；核验范围为发布状态及本模块引用规则，不代表所有推荐已逐条审查。</w:t>
      </w:r>
    </w:p>
    <w:p>
      <w:r>
        <w:t>https://kdigo.org/wp-content/uploads/2016/10/KDIGO-2012-AKI-Guideline-English.pdf</w:t>
      </w:r>
    </w:p>
    <w:p>
      <w:r>
        <w:t>[R11] ADPKD Evaluation Management and Treatment。KDIGO，2025正式。适用：常染色体显性多囊肾病。核验日期2026年10月29日；核验范围为发布状态及本模块引用规则，不代表所有推荐已逐条审查。</w:t>
      </w:r>
    </w:p>
    <w:p>
      <w:r>
        <w:t>https://kdigo.org/wp-content/uploads/2025/01/KDIGO-2025-ADPKD-Guideline.pdf</w:t>
      </w:r>
    </w:p>
    <w:p>
      <w:r>
        <w:t>KDIGO 2026 AKI/AKD及糖尿病更新、2027 CKD药物管理更新仍按官方网站显示的公开草案状态管理，不能作为已发布新标准。2012 AKI、2022糖尿病等正式版在相应范围继续使用。每季度及重要更新时核查；由科室、药师与病案质控审校，记录版本、变更依据、生效日期并重跑受影响样例。药物批准范围与具体操作须核本院及现行说明书。</w:t>
      </w:r>
    </w:p>
    <w:sectPr w:rsidR="00FC693F" w:rsidRPr="0006063C" w:rsidSect="00034616">
      <w:footerReference w:type="default" r:id="rId9"/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105  V1.0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3" w:lineRule="auto" w:after="100"/>
    </w:pPr>
    <w:rPr>
      <w:rFonts w:ascii="Heiti SC" w:hAnsi="Heiti SC" w:eastAsia="Heiti SC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Heiti SC" w:hAnsi="Heiti SC" w:eastAsia="Heiti SC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Heiti SC" w:hAnsi="Heiti SC" w:eastAsia="Heiti SC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Heiti SC" w:hAnsi="Heiti SC" w:eastAsia="Heiti SC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Heiti SC" w:hAnsi="Heiti SC" w:eastAsia="Heiti SC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