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血液透析血管通路及连续性肾脏替代治疗专病模板库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8">
        <w:r>
          <w:t>血液透析及滤过治疗 的33项路径</w:t>
        </w:r>
      </w:hyperlink>
    </w:p>
    <w:p>
      <w:hyperlink w:anchor="sec75">
        <w:r>
          <w:t>血液透析血管通路异常 的33项路径</w:t>
        </w:r>
      </w:hyperlink>
    </w:p>
    <w:p>
      <w:hyperlink w:anchor="sec142">
        <w:r>
          <w:t>连续性肾脏替代治疗 的33项路径</w:t>
        </w:r>
      </w:hyperlink>
    </w:p>
    <w:p>
      <w:hyperlink w:anchor="sec209">
        <w:r>
          <w:t>相关疾病和治疗分支的差异化调用</w:t>
        </w:r>
      </w:hyperlink>
    </w:p>
    <w:p>
      <w:hyperlink w:anchor="sec220">
        <w:r>
          <w:t>原始需求覆盖索引</w:t>
        </w:r>
      </w:hyperlink>
    </w:p>
    <w:p>
      <w:hyperlink w:anchor="sec246">
        <w:r>
          <w:t>虚构病例与完整示范</w:t>
        </w:r>
      </w:hyperlink>
    </w:p>
    <w:p>
      <w:hyperlink w:anchor="sec250">
        <w:r>
          <w:t>真实性边界与常见错误</w:t>
        </w:r>
      </w:hyperlink>
    </w:p>
    <w:p>
      <w:hyperlink w:anchor="sec254">
        <w:r>
          <w:t>最终核对及协同</w:t>
        </w:r>
      </w:hyperlink>
    </w:p>
    <w:p>
      <w:hyperlink w:anchor="sec268">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以下三条主要路径各含33项；同一患者只加载实际相关路径。其他相关病种使用后续差异分支，不把相邻疾病的病理、剂量或风险照搬。知识说明不是患者已有表现。</w:t>
      </w:r>
    </w:p>
    <w:p>
      <w:bookmarkStart w:id="8" w:name="sec8"/>
      <w:pPr>
        <w:pStyle w:val="Heading1"/>
      </w:pPr>
      <w:r>
        <w:t>血液透析及滤过治疗 的33项路径</w:t>
      </w:r>
      <w:bookmarkEnd w:id="8"/>
    </w:p>
    <w:p>
      <w:bookmarkStart w:id="9" w:name="sec9"/>
      <w:pPr>
        <w:pStyle w:val="Heading3"/>
      </w:pPr>
      <w:r>
        <w:t>01 疾病定义</w:t>
      </w:r>
      <w:bookmarkEnd w:id="9"/>
    </w:p>
    <w:p>
      <w:r>
        <w:t>肾脏替代治疗事件，处方与执行必须逐次区分</w:t>
      </w:r>
    </w:p>
    <w:p>
      <w:bookmarkStart w:id="11" w:name="sec11"/>
      <w:pPr>
        <w:pStyle w:val="Heading3"/>
      </w:pPr>
      <w:r>
        <w:t>02 病因与机制</w:t>
      </w:r>
      <w:bookmarkEnd w:id="11"/>
    </w:p>
    <w:p>
      <w:r>
        <w:t>体外弥散与或对流移除溶质，超滤调节液体；清除、容量移除及抗凝均有独立目标和执行数据。</w:t>
      </w:r>
    </w:p>
    <w:p>
      <w:bookmarkStart w:id="13" w:name="sec13"/>
      <w:pPr>
        <w:pStyle w:val="Heading3"/>
      </w:pPr>
      <w:r>
        <w:t>03 临床表现</w:t>
      </w:r>
      <w:bookmarkEnd w:id="13"/>
    </w:p>
    <w:p>
      <w:r>
        <w:t>透前症状、容量与治疗中耐受差异较大；透析后症状改变须由实际观察支持。这些是知识范围，不能自动写成患者已有事实。</w:t>
      </w:r>
    </w:p>
    <w:p>
      <w:bookmarkStart w:id="15" w:name="sec15"/>
      <w:pPr>
        <w:pStyle w:val="Heading3"/>
      </w:pPr>
      <w:r>
        <w:t>04 病史采集</w:t>
      </w:r>
      <w:bookmarkEnd w:id="15"/>
    </w:p>
    <w:p>
      <w:r>
        <w:t>初次或维持、指征、残肾、既往不良反应和处方变更；核发生时间、既往日期、真实治疗与反应及信息来源。</w:t>
      </w:r>
    </w:p>
    <w:p>
      <w:bookmarkStart w:id="17" w:name="sec17"/>
      <w:pPr>
        <w:pStyle w:val="Heading3"/>
      </w:pPr>
      <w:r>
        <w:t>05 专科查体</w:t>
      </w:r>
      <w:bookmarkEnd w:id="17"/>
    </w:p>
    <w:p>
      <w:r>
        <w:t>透前生命体征体重容量及通路实查。只写当次实际实施项目。</w:t>
      </w:r>
    </w:p>
    <w:p>
      <w:bookmarkStart w:id="19" w:name="sec19"/>
      <w:pPr>
        <w:pStyle w:val="Heading3"/>
      </w:pPr>
      <w:r>
        <w:t>06 尿液检验</w:t>
      </w:r>
      <w:bookmarkEnd w:id="19"/>
    </w:p>
    <w:p>
      <w:r>
        <w:t>残余尿量和实际出入量。标本和统计窗口注明，未测不写阴性。</w:t>
      </w:r>
    </w:p>
    <w:p>
      <w:bookmarkStart w:id="21" w:name="sec21"/>
      <w:pPr>
        <w:pStyle w:val="Heading3"/>
      </w:pPr>
      <w:r>
        <w:t>07 肾功能和电解质</w:t>
      </w:r>
      <w:bookmarkEnd w:id="21"/>
    </w:p>
    <w:p>
      <w:r>
        <w:t>透前后检验注明采样与治疗关系，不能把透后降肌酐称恢复。注意采样与RRT时序，不混单位和公式。</w:t>
      </w:r>
    </w:p>
    <w:p>
      <w:bookmarkStart w:id="23" w:name="sec23"/>
      <w:pPr>
        <w:pStyle w:val="Heading3"/>
      </w:pPr>
      <w:r>
        <w:t>08 影像</w:t>
      </w:r>
      <w:bookmarkEnd w:id="23"/>
    </w:p>
    <w:p>
      <w:r>
        <w:t>通路和容量相关影像按实际需要。报告原文与临床分析分开。</w:t>
      </w:r>
    </w:p>
    <w:p>
      <w:bookmarkStart w:id="25" w:name="sec25"/>
      <w:pPr>
        <w:pStyle w:val="Heading3"/>
      </w:pPr>
      <w:r>
        <w:t>09 免疫与病因检查</w:t>
      </w:r>
      <w:bookmarkEnd w:id="25"/>
    </w:p>
    <w:p>
      <w:r>
        <w:t>感染或基础病按线索，非每次全套。申请不证明结果已回。</w:t>
      </w:r>
    </w:p>
    <w:p>
      <w:bookmarkStart w:id="27" w:name="sec27"/>
      <w:pPr>
        <w:pStyle w:val="Heading3"/>
      </w:pPr>
      <w:r>
        <w:t>10 病理或替代性专科证据</w:t>
      </w:r>
      <w:bookmarkEnd w:id="27"/>
    </w:p>
    <w:p>
      <w:r>
        <w:t>通常不涉及新活检，沿用已核实基础病理。按实际适用性替换，不强迫不必要操作。</w:t>
      </w:r>
    </w:p>
    <w:p>
      <w:bookmarkStart w:id="29" w:name="sec29"/>
      <w:pPr>
        <w:pStyle w:val="Heading3"/>
      </w:pPr>
      <w:r>
        <w:t>11 诊断标准</w:t>
      </w:r>
      <w:bookmarkEnd w:id="29"/>
    </w:p>
    <w:p>
      <w:r>
        <w:t>不能仅肌酐数值认定本次适应证；执行记录证完成。标准不完整时保持待明确，不用模板强行确诊。</w:t>
      </w:r>
    </w:p>
    <w:p>
      <w:bookmarkStart w:id="31" w:name="sec31"/>
      <w:pPr>
        <w:pStyle w:val="Heading3"/>
      </w:pPr>
      <w:r>
        <w:t>12 诊断依据</w:t>
      </w:r>
      <w:bookmarkEnd w:id="31"/>
    </w:p>
    <w:p>
      <w:r>
        <w:t>将本患者关于残余尿量和实际出入量、透前后检验注明采样与治疗关系，不能把透后降肌酐称恢复及相关病史逐项对应于诊断；列支持、反对及未获得证据。</w:t>
      </w:r>
    </w:p>
    <w:p>
      <w:bookmarkStart w:id="33" w:name="sec33"/>
      <w:pPr>
        <w:pStyle w:val="Heading3"/>
      </w:pPr>
      <w:r>
        <w:t>13 鉴别诊断</w:t>
      </w:r>
      <w:bookmarkEnd w:id="33"/>
    </w:p>
    <w:p>
      <w:r>
        <w:t>尿毒症与其他原因症状、容量和感染急症。对本例逐项说明支持、反对及下一步，不机械宣称排除。</w:t>
      </w:r>
    </w:p>
    <w:p>
      <w:bookmarkStart w:id="35" w:name="sec35"/>
      <w:pPr>
        <w:pStyle w:val="Heading3"/>
      </w:pPr>
      <w:r>
        <w:t>14 分型与分期</w:t>
      </w:r>
      <w:bookmarkEnd w:id="35"/>
    </w:p>
    <w:p>
      <w:r>
        <w:t>首次风险、充分性、超滤耐受和出血风险。无完整变量不补分型、评分或风险百分数。</w:t>
      </w:r>
    </w:p>
    <w:p>
      <w:bookmarkStart w:id="37" w:name="sec37"/>
      <w:pPr>
        <w:pStyle w:val="Heading3"/>
      </w:pPr>
      <w:r>
        <w:t>15 危险分层</w:t>
      </w:r>
      <w:bookmarkEnd w:id="37"/>
    </w:p>
    <w:p>
      <w:r>
        <w:t>低血压痉挛高压出血过敏溶血及空气栓塞。潜在风险与已经发生的并发症分开。</w:t>
      </w:r>
    </w:p>
    <w:p>
      <w:bookmarkStart w:id="39" w:name="sec39"/>
      <w:pPr>
        <w:pStyle w:val="Heading3"/>
      </w:pPr>
      <w:r>
        <w:t>16 肾功能动态评价</w:t>
      </w:r>
      <w:bookmarkEnd w:id="39"/>
    </w:p>
    <w:p>
      <w:r>
        <w:t>透前后检验注明采样与治疗关系，不能把透后降肌酐称恢复；透析后降低、尿量受利尿影响、跨日基线均说明限制。</w:t>
      </w:r>
    </w:p>
    <w:p>
      <w:bookmarkStart w:id="41" w:name="sec41"/>
      <w:pPr>
        <w:pStyle w:val="Heading3"/>
      </w:pPr>
      <w:r>
        <w:t>17 治疗原则</w:t>
      </w:r>
      <w:bookmarkEnd w:id="41"/>
    </w:p>
    <w:p>
      <w:r>
        <w:t>真实处方包括时长通路流量透析液抗凝超滤，AI不填机器参数。医师建议、已开处方和实际执行分别表达。</w:t>
      </w:r>
    </w:p>
    <w:p>
      <w:bookmarkStart w:id="43" w:name="sec43"/>
      <w:pPr>
        <w:pStyle w:val="Heading3"/>
      </w:pPr>
      <w:r>
        <w:t>18 肾脏替代或特殊治疗评估</w:t>
      </w:r>
      <w:bookmarkEnd w:id="43"/>
    </w:p>
    <w:p>
      <w:r>
        <w:t>评估当前容量、钾、酸碱及尿毒症等器官危险和治疗目标，由真实团队决定方式及时机；仅肌酐升高不自动触发透析。对已在RRT者核每次执行和残肾；特殊人群由相应团队协作。</w:t>
      </w:r>
    </w:p>
    <w:p>
      <w:bookmarkStart w:id="45" w:name="sec45"/>
      <w:pPr>
        <w:pStyle w:val="Heading3"/>
      </w:pPr>
      <w:r>
        <w:t>19 药物管理</w:t>
      </w:r>
      <w:bookmarkEnd w:id="45"/>
    </w:p>
    <w:p>
      <w:r>
        <w:t>真实处方包括时长通路流量透析液抗凝超滤，AI不填机器参数；核肾功能适用、感染出血及停复。真实剂量途径频次来自医嘱和执行，不由AI补造。</w:t>
      </w:r>
    </w:p>
    <w:p>
      <w:bookmarkStart w:id="47" w:name="sec47"/>
      <w:pPr>
        <w:pStyle w:val="Heading3"/>
      </w:pPr>
      <w:r>
        <w:t>20 并发症</w:t>
      </w:r>
      <w:bookmarkEnd w:id="47"/>
    </w:p>
    <w:p>
      <w:r>
        <w:t>低血压痉挛高压出血过敏溶血及空气栓塞。若出现异常转06，记录事件时刻、实际措施及复评。</w:t>
      </w:r>
    </w:p>
    <w:p>
      <w:bookmarkStart w:id="49" w:name="sec49"/>
      <w:pPr>
        <w:pStyle w:val="Heading3"/>
      </w:pPr>
      <w:r>
        <w:t>21 首次病程</w:t>
      </w:r>
      <w:bookmarkEnd w:id="49"/>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鉴别诊断：【针对本例尿毒症与其他原因症状、容量和感染急症的支持反对】</w:t>
      </w:r>
    </w:p>
    <w:p>
      <w:pPr>
        <w:keepNext/>
        <w:keepLines/>
        <w:spacing w:after="0" w:line="252" w:lineRule="auto"/>
      </w:pPr>
      <w:r>
        <w:t>风险及计划：【真实医师对低血压痉挛高压出血过敏溶血及空气栓塞的评估及安排】。</w:t>
      </w:r>
    </w:p>
    <w:p>
      <w:r>
        <w:t>```</w:t>
      </w:r>
    </w:p>
    <w:p>
      <w:bookmarkStart w:id="51" w:name="sec51"/>
      <w:pPr>
        <w:pStyle w:val="Heading3"/>
      </w:pPr>
      <w:r>
        <w:t>22 日常病程</w:t>
      </w:r>
      <w:bookmarkEnd w:id="51"/>
    </w:p>
    <w:p>
      <w:pPr>
        <w:keepNext/>
      </w:pPr>
      <w:r>
        <w:t>【真实记录日期及时间】 日常病程</w:t>
      </w:r>
    </w:p>
    <w:p>
      <w:pPr>
        <w:keepNext/>
      </w:pPr>
      <w:r>
        <w:t>```text</w:t>
      </w:r>
    </w:p>
    <w:p>
      <w:pPr>
        <w:keepNext/>
        <w:keepLines/>
        <w:spacing w:after="0" w:line="252" w:lineRule="auto"/>
      </w:pPr>
      <w:r>
        <w:t>患者今日【真实变化】，查体【与透前生命体征体重容量及通路实查相关的当次实查】，检查【实际日期及透前后检验注明采样与治疗关系，不能把透后降肌酐称恢复的结果】。目前【诊断确定度和真实阶段】，已实施【治疗执行与反应】，后续【围绕充分性残肾通路干体重和长期安排的真实计划】。</w:t>
      </w:r>
    </w:p>
    <w:p>
      <w:r>
        <w:t>```</w:t>
      </w:r>
    </w:p>
    <w:p>
      <w:bookmarkStart w:id="53" w:name="sec53"/>
      <w:pPr>
        <w:pStyle w:val="Heading3"/>
      </w:pPr>
      <w:r>
        <w:t>23 主治医师查房</w:t>
      </w:r>
      <w:bookmarkEnd w:id="53"/>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透前后检验注明采样与治疗关系，不能把透后降肌酐称恢复、尿量容量及实际治疗执行的真实意见】，后续【近期监测】。</w:t>
      </w:r>
    </w:p>
    <w:p>
      <w:r>
        <w:t>```</w:t>
      </w:r>
    </w:p>
    <w:p>
      <w:bookmarkStart w:id="55" w:name="sec55"/>
      <w:pPr>
        <w:pStyle w:val="Heading3"/>
      </w:pPr>
      <w:r>
        <w:t>24 副主任医师查房</w:t>
      </w:r>
      <w:bookmarkEnd w:id="55"/>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不能仅肌酐数值认定本次适应证；执行记录证完成与尿毒症与其他原因症状、容量和感染急症的真实复核，及治疗优化意见】，下一步【真实计划】。</w:t>
      </w:r>
    </w:p>
    <w:p>
      <w:r>
        <w:t>```</w:t>
      </w:r>
    </w:p>
    <w:p>
      <w:bookmarkStart w:id="57" w:name="sec57"/>
      <w:pPr>
        <w:pStyle w:val="Heading3"/>
      </w:pPr>
      <w:r>
        <w:t>25 主任医师查房</w:t>
      </w:r>
      <w:bookmarkEnd w:id="57"/>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血液透析及滤过治疗的复杂证据、真实处方包括时长通路流量透析液抗凝超滤，AI不填机器参数的重大权衡及低血压痉挛高压出血过敏溶血及空气栓塞与长期预后】，后续【真实决策】。</w:t>
      </w:r>
    </w:p>
    <w:p>
      <w:r>
        <w:t>```</w:t>
      </w:r>
    </w:p>
    <w:p>
      <w:bookmarkStart w:id="59" w:name="sec59"/>
      <w:pPr>
        <w:pStyle w:val="Heading3"/>
      </w:pPr>
      <w:r>
        <w:t>26 特殊操作前后病程</w:t>
      </w:r>
      <w:bookmarkEnd w:id="59"/>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1" w:name="sec61"/>
      <w:pPr>
        <w:pStyle w:val="Heading3"/>
      </w:pPr>
      <w:r>
        <w:t>27 治疗调整病程</w:t>
      </w:r>
      <w:bookmarkEnd w:id="61"/>
    </w:p>
    <w:p>
      <w:pPr>
        <w:keepNext/>
      </w:pPr>
      <w:r>
        <w:t>【真实记录日期及时间】 治疗调整病程</w:t>
      </w:r>
    </w:p>
    <w:p>
      <w:pPr>
        <w:keepNext/>
      </w:pPr>
      <w:r>
        <w:t>```text</w:t>
      </w:r>
    </w:p>
    <w:p>
      <w:pPr>
        <w:keepNext/>
        <w:keepLines/>
        <w:spacing w:after="0" w:line="252" w:lineRule="auto"/>
      </w:pPr>
      <w:r>
        <w:t>针对【实际问题和变化】，医师决定【有关真实处方包括时长通路流量透析液抗凝超滤，AI不填机器参数的真实调整】，医嘱【状态】，实际执行【来源】，反应及停复【事实】，后续【真实复查安排】。</w:t>
      </w:r>
    </w:p>
    <w:p>
      <w:r>
        <w:t>```</w:t>
      </w:r>
    </w:p>
    <w:p>
      <w:bookmarkStart w:id="63" w:name="sec63"/>
      <w:pPr>
        <w:pStyle w:val="Heading3"/>
      </w:pPr>
      <w:r>
        <w:t>28 异常病程</w:t>
      </w:r>
      <w:bookmarkEnd w:id="63"/>
    </w:p>
    <w:p>
      <w:pPr>
        <w:keepNext/>
      </w:pPr>
      <w:r>
        <w:t>【真实记录日期及时间】 异常病程</w:t>
      </w:r>
    </w:p>
    <w:p>
      <w:pPr>
        <w:keepNext/>
      </w:pPr>
      <w:r>
        <w:t>```text</w:t>
      </w:r>
    </w:p>
    <w:p>
      <w:pPr>
        <w:keepNext/>
        <w:keepLines/>
        <w:spacing w:after="0" w:line="252" w:lineRule="auto"/>
      </w:pPr>
      <w:r>
        <w:t>于【真实时点】发生【症状或异常】，当时【生命体征和关键检查】，考虑【与低血压痉挛高压出血过敏溶血及空气栓塞相关的判断及确定度】，已采取【实际措施时间】，复评【结果】，后续【现场团队安排】。</w:t>
      </w:r>
    </w:p>
    <w:p>
      <w:r>
        <w:t>```</w:t>
      </w:r>
    </w:p>
    <w:p>
      <w:bookmarkStart w:id="65" w:name="sec65"/>
      <w:pPr>
        <w:pStyle w:val="Heading3"/>
      </w:pPr>
      <w:r>
        <w:t>29 出院记录</w:t>
      </w:r>
      <w:bookmarkEnd w:id="65"/>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诊疗经过：【血液透析及滤过治疗证据演变及每次实际治疗】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出院计划：【真实带药、治疗与充分性残肾通路干体重和长期安排】。</w:t>
      </w:r>
    </w:p>
    <w:p>
      <w:r>
        <w:t>```</w:t>
      </w:r>
    </w:p>
    <w:p>
      <w:bookmarkStart w:id="67" w:name="sec67"/>
      <w:pPr>
        <w:pStyle w:val="Heading3"/>
      </w:pPr>
      <w:r>
        <w:t>30 出院医嘱</w:t>
      </w:r>
      <w:bookmarkEnd w:id="67"/>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复查及待回报：【围绕充分性残肾通路干体重和长期安排的实际日期项目责任】</w:t>
      </w:r>
    </w:p>
    <w:p>
      <w:pPr>
        <w:keepNext/>
        <w:keepLines/>
        <w:spacing w:after="0" w:line="252" w:lineRule="auto"/>
      </w:pPr>
      <w:r>
        <w:t>警示症状：【与低血压痉挛高压出血过敏溶血及空气栓塞相关且已真实交代的内容】。</w:t>
      </w:r>
    </w:p>
    <w:p>
      <w:r>
        <w:t>```</w:t>
      </w:r>
    </w:p>
    <w:p>
      <w:bookmarkStart w:id="69" w:name="sec69"/>
      <w:pPr>
        <w:pStyle w:val="Heading3"/>
      </w:pPr>
      <w:r>
        <w:t>31 长期随访</w:t>
      </w:r>
      <w:bookmarkEnd w:id="69"/>
    </w:p>
    <w:p>
      <w:r>
        <w:t>充分性残肾通路干体重和长期安排。记录真实预约和实际完成，不把计划写完成。</w:t>
      </w:r>
    </w:p>
    <w:p>
      <w:bookmarkStart w:id="71" w:name="sec71"/>
      <w:pPr>
        <w:pStyle w:val="Heading3"/>
      </w:pPr>
      <w:r>
        <w:t>32 最终质控</w:t>
      </w:r>
      <w:bookmarkEnd w:id="71"/>
    </w:p>
    <w:p>
      <w:r>
        <w:t>不能仅肌酐数值认定本次适应证；执行记录证完成；核每次诊断、检查可知时间、实际执行和通常不涉及新活检，沿用已核实基础病理的证据边界，按10终审。</w:t>
      </w:r>
    </w:p>
    <w:p>
      <w:bookmarkStart w:id="73" w:name="sec73"/>
      <w:pPr>
        <w:pStyle w:val="Heading3"/>
      </w:pPr>
      <w:r>
        <w:t>33 参考指南与版本</w:t>
      </w:r>
      <w:bookmarkEnd w:id="73"/>
    </w:p>
    <w:p>
      <w:r>
        <w:t>采用文末R04、R06、R20的相应正式版本和适用人群。主路径是文书组织，不将所有提示宣称为指南分级推荐；具体推荐及药物使用需实际查原文和本院规范。</w:t>
      </w:r>
    </w:p>
    <w:p>
      <w:bookmarkStart w:id="75" w:name="sec75"/>
      <w:pPr>
        <w:pStyle w:val="Heading1"/>
      </w:pPr>
      <w:r>
        <w:t>血液透析血管通路异常 的33项路径</w:t>
      </w:r>
      <w:bookmarkEnd w:id="75"/>
    </w:p>
    <w:p>
      <w:bookmarkStart w:id="76" w:name="sec76"/>
      <w:pPr>
        <w:pStyle w:val="Heading3"/>
      </w:pPr>
      <w:r>
        <w:t>01 疾病定义</w:t>
      </w:r>
      <w:bookmarkEnd w:id="76"/>
    </w:p>
    <w:p>
      <w:r>
        <w:t>自体内瘘移植物及导管功能感染血栓狭窄问题需各有证据</w:t>
      </w:r>
    </w:p>
    <w:p>
      <w:bookmarkStart w:id="78" w:name="sec78"/>
      <w:pPr>
        <w:pStyle w:val="Heading3"/>
      </w:pPr>
      <w:r>
        <w:t>02 病因与机制</w:t>
      </w:r>
      <w:bookmarkEnd w:id="78"/>
    </w:p>
    <w:p>
      <w:r>
        <w:t>内膜增生、流量及解剖改变可致狭窄血栓；导管或穿刺暴露可引起局部感染和血流感染，感染与功能异常可并存。</w:t>
      </w:r>
    </w:p>
    <w:p>
      <w:bookmarkStart w:id="80" w:name="sec80"/>
      <w:pPr>
        <w:pStyle w:val="Heading3"/>
      </w:pPr>
      <w:r>
        <w:t>03 临床表现</w:t>
      </w:r>
      <w:bookmarkEnd w:id="80"/>
    </w:p>
    <w:p>
      <w:r>
        <w:t>穿刺困难、震颤改变、疼痛肿胀、分泌物或透析流量异常可见，症状与影像分别记录。这些是知识范围，不能自动写成患者已有事实。</w:t>
      </w:r>
    </w:p>
    <w:p>
      <w:bookmarkStart w:id="82" w:name="sec82"/>
      <w:pPr>
        <w:pStyle w:val="Heading3"/>
      </w:pPr>
      <w:r>
        <w:t>04 病史采集</w:t>
      </w:r>
      <w:bookmarkEnd w:id="82"/>
    </w:p>
    <w:p>
      <w:r>
        <w:t>通路建立和使用时间、穿刺困难流量变化发热疼痛；核发生时间、既往日期、真实治疗与反应及信息来源。</w:t>
      </w:r>
    </w:p>
    <w:p>
      <w:bookmarkStart w:id="84" w:name="sec84"/>
      <w:pPr>
        <w:pStyle w:val="Heading3"/>
      </w:pPr>
      <w:r>
        <w:t>05 专科查体</w:t>
      </w:r>
      <w:bookmarkEnd w:id="84"/>
    </w:p>
    <w:p>
      <w:r>
        <w:t>震颤杂音、皮肤出口、局部灌注及全身感染实查。只写当次实际实施项目。</w:t>
      </w:r>
    </w:p>
    <w:p>
      <w:bookmarkStart w:id="86" w:name="sec86"/>
      <w:pPr>
        <w:pStyle w:val="Heading3"/>
      </w:pPr>
      <w:r>
        <w:t>06 尿液检验</w:t>
      </w:r>
      <w:bookmarkEnd w:id="86"/>
    </w:p>
    <w:p>
      <w:r>
        <w:t>残肾尿量作为替代方式背景。标本和统计窗口注明，未测不写阴性。</w:t>
      </w:r>
    </w:p>
    <w:p>
      <w:bookmarkStart w:id="88" w:name="sec88"/>
      <w:pPr>
        <w:pStyle w:val="Heading3"/>
      </w:pPr>
      <w:r>
        <w:t>07 肾功能和电解质</w:t>
      </w:r>
      <w:bookmarkEnd w:id="88"/>
    </w:p>
    <w:p>
      <w:r>
        <w:t>炎症培养Hb及透析相关参数按问题选择。注意采样与RRT时序，不混单位和公式。</w:t>
      </w:r>
    </w:p>
    <w:p>
      <w:bookmarkStart w:id="90" w:name="sec90"/>
      <w:pPr>
        <w:pStyle w:val="Heading3"/>
      </w:pPr>
      <w:r>
        <w:t>08 影像</w:t>
      </w:r>
      <w:bookmarkEnd w:id="90"/>
    </w:p>
    <w:p>
      <w:r>
        <w:t>通路超声或其他检查按实际指征。报告原文与临床分析分开。</w:t>
      </w:r>
    </w:p>
    <w:p>
      <w:bookmarkStart w:id="92" w:name="sec92"/>
      <w:pPr>
        <w:pStyle w:val="Heading3"/>
      </w:pPr>
      <w:r>
        <w:t>09 免疫与病因检查</w:t>
      </w:r>
      <w:bookmarkEnd w:id="92"/>
    </w:p>
    <w:p>
      <w:r>
        <w:t>培养标本来源和抗菌前后采集时间明确。申请不证明结果已回。</w:t>
      </w:r>
    </w:p>
    <w:p>
      <w:bookmarkStart w:id="94" w:name="sec94"/>
      <w:pPr>
        <w:pStyle w:val="Heading3"/>
      </w:pPr>
      <w:r>
        <w:t>10 病理或替代性专科证据</w:t>
      </w:r>
      <w:bookmarkEnd w:id="94"/>
    </w:p>
    <w:p>
      <w:r>
        <w:t>不需肾病理来诊断通路问题。按实际适用性替换，不强迫不必要操作。</w:t>
      </w:r>
    </w:p>
    <w:p>
      <w:bookmarkStart w:id="96" w:name="sec96"/>
      <w:pPr>
        <w:pStyle w:val="Heading3"/>
      </w:pPr>
      <w:r>
        <w:t>11 诊断标准</w:t>
      </w:r>
      <w:bookmarkEnd w:id="96"/>
    </w:p>
    <w:p>
      <w:r>
        <w:t>不能从术后日数自动认内瘘成熟；发热不独证导管感染。标准不完整时保持待明确，不用模板强行确诊。</w:t>
      </w:r>
    </w:p>
    <w:p>
      <w:bookmarkStart w:id="98" w:name="sec98"/>
      <w:pPr>
        <w:pStyle w:val="Heading3"/>
      </w:pPr>
      <w:r>
        <w:t>12 诊断依据</w:t>
      </w:r>
      <w:bookmarkEnd w:id="98"/>
    </w:p>
    <w:p>
      <w:r>
        <w:t>将本患者关于残肾尿量作为替代方式背景、炎症培养Hb及透析相关参数按问题选择及相关病史逐项对应于诊断；列支持、反对及未获得证据。</w:t>
      </w:r>
    </w:p>
    <w:p>
      <w:bookmarkStart w:id="100" w:name="sec100"/>
      <w:pPr>
        <w:pStyle w:val="Heading3"/>
      </w:pPr>
      <w:r>
        <w:t>13 鉴别诊断</w:t>
      </w:r>
      <w:bookmarkEnd w:id="100"/>
    </w:p>
    <w:p>
      <w:r>
        <w:t>非通路感染、系统低血压或设备因素。对本例逐项说明支持、反对及下一步，不机械宣称排除。</w:t>
      </w:r>
    </w:p>
    <w:p>
      <w:bookmarkStart w:id="102" w:name="sec102"/>
      <w:pPr>
        <w:pStyle w:val="Heading3"/>
      </w:pPr>
      <w:r>
        <w:t>14 分型与分期</w:t>
      </w:r>
      <w:bookmarkEnd w:id="102"/>
    </w:p>
    <w:p>
      <w:r>
        <w:t>可用性、紧急透析需求、感染及出血风险。无完整变量不补分型、评分或风险百分数。</w:t>
      </w:r>
    </w:p>
    <w:p>
      <w:bookmarkStart w:id="104" w:name="sec104"/>
      <w:pPr>
        <w:pStyle w:val="Heading3"/>
      </w:pPr>
      <w:r>
        <w:t>15 危险分层</w:t>
      </w:r>
      <w:bookmarkEnd w:id="104"/>
    </w:p>
    <w:p>
      <w:r>
        <w:t>失血血栓感染缺血和通路丢失。潜在风险与已经发生的并发症分开。</w:t>
      </w:r>
    </w:p>
    <w:p>
      <w:bookmarkStart w:id="106" w:name="sec106"/>
      <w:pPr>
        <w:pStyle w:val="Heading3"/>
      </w:pPr>
      <w:r>
        <w:t>16 肾功能动态评价</w:t>
      </w:r>
      <w:bookmarkEnd w:id="106"/>
    </w:p>
    <w:p>
      <w:r>
        <w:t>炎症培养Hb及透析相关参数按问题选择；透析后降低、尿量受利尿影响、跨日基线均说明限制。</w:t>
      </w:r>
    </w:p>
    <w:p>
      <w:bookmarkStart w:id="108" w:name="sec108"/>
      <w:pPr>
        <w:pStyle w:val="Heading3"/>
      </w:pPr>
      <w:r>
        <w:t>17 治疗原则</w:t>
      </w:r>
      <w:bookmarkEnd w:id="108"/>
    </w:p>
    <w:p>
      <w:r>
        <w:t>及时通路团队评估，置管拔管及再通操作只写实际。医师建议、已开处方和实际执行分别表达。</w:t>
      </w:r>
    </w:p>
    <w:p>
      <w:bookmarkStart w:id="110" w:name="sec110"/>
      <w:pPr>
        <w:pStyle w:val="Heading3"/>
      </w:pPr>
      <w:r>
        <w:t>18 肾脏替代或特殊治疗评估</w:t>
      </w:r>
      <w:bookmarkEnd w:id="110"/>
    </w:p>
    <w:p>
      <w:r>
        <w:t>评估当前容量、钾、酸碱及尿毒症等器官危险和治疗目标，由真实团队决定方式及时机；仅肌酐升高不自动触发透析。对已在RRT者核每次执行和残肾；特殊人群由相应团队协作。</w:t>
      </w:r>
    </w:p>
    <w:p>
      <w:bookmarkStart w:id="112" w:name="sec112"/>
      <w:pPr>
        <w:pStyle w:val="Heading3"/>
      </w:pPr>
      <w:r>
        <w:t>19 药物管理</w:t>
      </w:r>
      <w:bookmarkEnd w:id="112"/>
    </w:p>
    <w:p>
      <w:r>
        <w:t>及时通路团队评估，置管拔管及再通操作只写实际；核肾功能适用、感染出血及停复。真实剂量途径频次来自医嘱和执行，不由AI补造。</w:t>
      </w:r>
    </w:p>
    <w:p>
      <w:bookmarkStart w:id="114" w:name="sec114"/>
      <w:pPr>
        <w:pStyle w:val="Heading3"/>
      </w:pPr>
      <w:r>
        <w:t>20 并发症</w:t>
      </w:r>
      <w:bookmarkEnd w:id="114"/>
    </w:p>
    <w:p>
      <w:r>
        <w:t>失血血栓感染缺血和通路丢失。若出现异常转06，记录事件时刻、实际措施及复评。</w:t>
      </w:r>
    </w:p>
    <w:p>
      <w:bookmarkStart w:id="116" w:name="sec116"/>
      <w:pPr>
        <w:pStyle w:val="Heading3"/>
      </w:pPr>
      <w:r>
        <w:t>21 首次病程</w:t>
      </w:r>
      <w:bookmarkEnd w:id="116"/>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鉴别诊断：【针对本例非通路感染、系统低血压或设备因素的支持反对】</w:t>
      </w:r>
    </w:p>
    <w:p>
      <w:pPr>
        <w:keepNext/>
        <w:keepLines/>
        <w:spacing w:after="0" w:line="252" w:lineRule="auto"/>
      </w:pPr>
      <w:r>
        <w:t>风险及计划：【真实医师对失血血栓感染缺血和通路丢失的评估及安排】。</w:t>
      </w:r>
    </w:p>
    <w:p>
      <w:r>
        <w:t>```</w:t>
      </w:r>
    </w:p>
    <w:p>
      <w:bookmarkStart w:id="118" w:name="sec118"/>
      <w:pPr>
        <w:pStyle w:val="Heading3"/>
      </w:pPr>
      <w:r>
        <w:t>22 日常病程</w:t>
      </w:r>
      <w:bookmarkEnd w:id="118"/>
    </w:p>
    <w:p>
      <w:pPr>
        <w:keepNext/>
      </w:pPr>
      <w:r>
        <w:t>【真实记录日期及时间】 日常病程</w:t>
      </w:r>
    </w:p>
    <w:p>
      <w:pPr>
        <w:keepNext/>
      </w:pPr>
      <w:r>
        <w:t>```text</w:t>
      </w:r>
    </w:p>
    <w:p>
      <w:pPr>
        <w:keepNext/>
        <w:keepLines/>
        <w:spacing w:after="0" w:line="252" w:lineRule="auto"/>
      </w:pPr>
      <w:r>
        <w:t>患者今日【真实变化】，查体【与震颤杂音、皮肤出口、局部灌注及全身感染实查相关的当次实查】，检查【实际日期及炎症培养Hb及透析相关参数按问题选择的结果】。目前【诊断确定度和真实阶段】，已实施【治疗执行与反应】，后续【围绕通路保护、复查和下一次透析可及性的真实计划】。</w:t>
      </w:r>
    </w:p>
    <w:p>
      <w:r>
        <w:t>```</w:t>
      </w:r>
    </w:p>
    <w:p>
      <w:bookmarkStart w:id="120" w:name="sec120"/>
      <w:pPr>
        <w:pStyle w:val="Heading3"/>
      </w:pPr>
      <w:r>
        <w:t>23 主治医师查房</w:t>
      </w:r>
      <w:bookmarkEnd w:id="120"/>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今日随【真实姓名】主治医师查房，患者【真实症状】，实查及检查【当次资料】。主治医师分析【当日炎症培养Hb及透析相关参数按问题选择、尿量容量及实际治疗执行的真实意见】，后续【近期监测】。</w:t>
      </w:r>
    </w:p>
    <w:p>
      <w:r>
        <w:t>```</w:t>
      </w:r>
    </w:p>
    <w:p>
      <w:bookmarkStart w:id="122" w:name="sec122"/>
      <w:pPr>
        <w:pStyle w:val="Heading3"/>
      </w:pPr>
      <w:r>
        <w:t>24 副主任医师查房</w:t>
      </w:r>
      <w:bookmarkEnd w:id="122"/>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不能从术后日数自动认内瘘成熟；发热不独证导管感染与非通路感染、系统低血压或设备因素的真实复核，及治疗优化意见】，下一步【真实计划】。</w:t>
      </w:r>
    </w:p>
    <w:p>
      <w:r>
        <w:t>```</w:t>
      </w:r>
    </w:p>
    <w:p>
      <w:bookmarkStart w:id="124" w:name="sec124"/>
      <w:pPr>
        <w:pStyle w:val="Heading3"/>
      </w:pPr>
      <w:r>
        <w:t>25 主任医师查房</w:t>
      </w:r>
      <w:bookmarkEnd w:id="124"/>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血液透析血管通路异常的复杂证据、及时通路团队评估，置管拔管及再通操作只写实际的重大权衡及失血血栓感染缺血和通路丢失与长期预后】，后续【真实决策】。</w:t>
      </w:r>
    </w:p>
    <w:p>
      <w:r>
        <w:t>```</w:t>
      </w:r>
    </w:p>
    <w:p>
      <w:bookmarkStart w:id="126" w:name="sec126"/>
      <w:pPr>
        <w:pStyle w:val="Heading3"/>
      </w:pPr>
      <w:r>
        <w:t>26 特殊操作前后病程</w:t>
      </w:r>
      <w:bookmarkEnd w:id="126"/>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8" w:name="sec128"/>
      <w:pPr>
        <w:pStyle w:val="Heading3"/>
      </w:pPr>
      <w:r>
        <w:t>27 治疗调整病程</w:t>
      </w:r>
      <w:bookmarkEnd w:id="128"/>
    </w:p>
    <w:p>
      <w:pPr>
        <w:keepNext/>
      </w:pPr>
      <w:r>
        <w:t>【真实记录日期及时间】 治疗调整病程</w:t>
      </w:r>
    </w:p>
    <w:p>
      <w:pPr>
        <w:keepNext/>
      </w:pPr>
      <w:r>
        <w:t>```text</w:t>
      </w:r>
    </w:p>
    <w:p>
      <w:pPr>
        <w:keepNext/>
        <w:keepLines/>
        <w:spacing w:after="0" w:line="252" w:lineRule="auto"/>
      </w:pPr>
      <w:r>
        <w:t>针对【实际问题和变化】，医师决定【有关及时通路团队评估，置管拔管及再通操作只写实际的真实调整】，医嘱【状态】，实际执行【来源】，反应及停复【事实】，后续【真实复查安排】。</w:t>
      </w:r>
    </w:p>
    <w:p>
      <w:r>
        <w:t>```</w:t>
      </w:r>
    </w:p>
    <w:p>
      <w:bookmarkStart w:id="130" w:name="sec130"/>
      <w:pPr>
        <w:pStyle w:val="Heading3"/>
      </w:pPr>
      <w:r>
        <w:t>28 异常病程</w:t>
      </w:r>
      <w:bookmarkEnd w:id="130"/>
    </w:p>
    <w:p>
      <w:pPr>
        <w:keepNext/>
      </w:pPr>
      <w:r>
        <w:t>【真实记录日期及时间】 异常病程</w:t>
      </w:r>
    </w:p>
    <w:p>
      <w:pPr>
        <w:keepNext/>
      </w:pPr>
      <w:r>
        <w:t>```text</w:t>
      </w:r>
    </w:p>
    <w:p>
      <w:pPr>
        <w:keepNext/>
        <w:keepLines/>
        <w:spacing w:after="0" w:line="252" w:lineRule="auto"/>
      </w:pPr>
      <w:r>
        <w:t>于【真实时点】发生【症状或异常】，当时【生命体征和关键检查】，考虑【与失血血栓感染缺血和通路丢失相关的判断及确定度】，已采取【实际措施时间】，复评【结果】，后续【现场团队安排】。</w:t>
      </w:r>
    </w:p>
    <w:p>
      <w:r>
        <w:t>```</w:t>
      </w:r>
    </w:p>
    <w:p>
      <w:bookmarkStart w:id="132" w:name="sec132"/>
      <w:pPr>
        <w:pStyle w:val="Heading3"/>
      </w:pPr>
      <w:r>
        <w:t>29 出院记录</w:t>
      </w:r>
      <w:bookmarkEnd w:id="132"/>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诊疗经过：【血液透析血管通路异常证据演变及每次实际治疗】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出院计划：【真实带药、治疗与通路保护、复查和下一次透析可及性】。</w:t>
      </w:r>
    </w:p>
    <w:p>
      <w:r>
        <w:t>```</w:t>
      </w:r>
    </w:p>
    <w:p>
      <w:bookmarkStart w:id="134" w:name="sec134"/>
      <w:pPr>
        <w:pStyle w:val="Heading3"/>
      </w:pPr>
      <w:r>
        <w:t>30 出院医嘱</w:t>
      </w:r>
      <w:bookmarkEnd w:id="134"/>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复查及待回报：【围绕通路保护、复查和下一次透析可及性的实际日期项目责任】</w:t>
      </w:r>
    </w:p>
    <w:p>
      <w:pPr>
        <w:keepNext/>
        <w:keepLines/>
        <w:spacing w:after="0" w:line="252" w:lineRule="auto"/>
      </w:pPr>
      <w:r>
        <w:t>警示症状：【与失血血栓感染缺血和通路丢失相关且已真实交代的内容】。</w:t>
      </w:r>
    </w:p>
    <w:p>
      <w:r>
        <w:t>```</w:t>
      </w:r>
    </w:p>
    <w:p>
      <w:bookmarkStart w:id="136" w:name="sec136"/>
      <w:pPr>
        <w:pStyle w:val="Heading3"/>
      </w:pPr>
      <w:r>
        <w:t>31 长期随访</w:t>
      </w:r>
      <w:bookmarkEnd w:id="136"/>
    </w:p>
    <w:p>
      <w:r>
        <w:t>通路保护、复查和下一次透析可及性。记录真实预约和实际完成，不把计划写完成。</w:t>
      </w:r>
    </w:p>
    <w:p>
      <w:bookmarkStart w:id="138" w:name="sec138"/>
      <w:pPr>
        <w:pStyle w:val="Heading3"/>
      </w:pPr>
      <w:r>
        <w:t>32 最终质控</w:t>
      </w:r>
      <w:bookmarkEnd w:id="138"/>
    </w:p>
    <w:p>
      <w:r>
        <w:t>不能从术后日数自动认内瘘成熟；发热不独证导管感染；核每次诊断、检查可知时间、实际执行和不需肾病理来诊断通路问题的证据边界，按10终审。</w:t>
      </w:r>
    </w:p>
    <w:p>
      <w:bookmarkStart w:id="140" w:name="sec140"/>
      <w:pPr>
        <w:pStyle w:val="Heading3"/>
      </w:pPr>
      <w:r>
        <w:t>33 参考指南与版本</w:t>
      </w:r>
      <w:bookmarkEnd w:id="140"/>
    </w:p>
    <w:p>
      <w:r>
        <w:t>采用文末R04、R06、R20的相应正式版本和适用人群。主路径是文书组织，不将所有提示宣称为指南分级推荐；具体推荐及药物使用需实际查原文和本院规范。</w:t>
      </w:r>
    </w:p>
    <w:p>
      <w:bookmarkStart w:id="142" w:name="sec142"/>
      <w:pPr>
        <w:pStyle w:val="Heading1"/>
      </w:pPr>
      <w:r>
        <w:t>连续性肾脏替代治疗 的33项路径</w:t>
      </w:r>
      <w:bookmarkEnd w:id="142"/>
    </w:p>
    <w:p>
      <w:bookmarkStart w:id="143" w:name="sec143"/>
      <w:pPr>
        <w:pStyle w:val="Heading3"/>
      </w:pPr>
      <w:r>
        <w:t>01 疾病定义</w:t>
      </w:r>
      <w:bookmarkEnd w:id="143"/>
    </w:p>
    <w:p>
      <w:r>
        <w:t>CVVH以对流、CVVHD以弥散、CVVHDF组合；实际模式须核机器与医嘱</w:t>
      </w:r>
    </w:p>
    <w:p>
      <w:bookmarkStart w:id="145" w:name="sec145"/>
      <w:pPr>
        <w:pStyle w:val="Heading3"/>
      </w:pPr>
      <w:r>
        <w:t>02 病因与机制</w:t>
      </w:r>
      <w:bookmarkEnd w:id="145"/>
    </w:p>
    <w:p>
      <w:r>
        <w:t>不同CRRT模式采用对流、弥散或两者联合，连续体外治疗的实际剂量受停机、通路、滤器及执行液流影响。</w:t>
      </w:r>
    </w:p>
    <w:p>
      <w:bookmarkStart w:id="147" w:name="sec147"/>
      <w:pPr>
        <w:pStyle w:val="Heading3"/>
      </w:pPr>
      <w:r>
        <w:t>03 临床表现</w:t>
      </w:r>
      <w:bookmarkEnd w:id="147"/>
    </w:p>
    <w:p>
      <w:r>
        <w:t>病情常受原危重病、血流动力学及代谢影响，管路或滤器异常与病情变化须分开。这些是知识范围，不能自动写成患者已有事实。</w:t>
      </w:r>
    </w:p>
    <w:p>
      <w:bookmarkStart w:id="149" w:name="sec149"/>
      <w:pPr>
        <w:pStyle w:val="Heading3"/>
      </w:pPr>
      <w:r>
        <w:t>04 病史采集</w:t>
      </w:r>
      <w:bookmarkEnd w:id="149"/>
    </w:p>
    <w:p>
      <w:r>
        <w:t>启动指征、血流动力学、出血风险、方式切换与中断；核发生时间、既往日期、真实治疗与反应及信息来源。</w:t>
      </w:r>
    </w:p>
    <w:p>
      <w:bookmarkStart w:id="151" w:name="sec151"/>
      <w:pPr>
        <w:pStyle w:val="Heading3"/>
      </w:pPr>
      <w:r>
        <w:t>05 专科查体</w:t>
      </w:r>
      <w:bookmarkEnd w:id="151"/>
    </w:p>
    <w:p>
      <w:r>
        <w:t>生命体征灌注容量和通路。只写当次实际实施项目。</w:t>
      </w:r>
    </w:p>
    <w:p>
      <w:bookmarkStart w:id="153" w:name="sec153"/>
      <w:pPr>
        <w:pStyle w:val="Heading3"/>
      </w:pPr>
      <w:r>
        <w:t>06 尿液检验</w:t>
      </w:r>
      <w:bookmarkEnd w:id="153"/>
    </w:p>
    <w:p>
      <w:r>
        <w:t>小时或指定区间尿量及患者总平衡。标本和统计窗口注明，未测不写阴性。</w:t>
      </w:r>
    </w:p>
    <w:p>
      <w:bookmarkStart w:id="155" w:name="sec155"/>
      <w:pPr>
        <w:pStyle w:val="Heading3"/>
      </w:pPr>
      <w:r>
        <w:t>07 肾功能和电解质</w:t>
      </w:r>
      <w:bookmarkEnd w:id="155"/>
    </w:p>
    <w:p>
      <w:r>
        <w:t>血钾血气钙镁磷及按抗凝方案监测，不虚构剂量。注意采样与RRT时序，不混单位和公式。</w:t>
      </w:r>
    </w:p>
    <w:p>
      <w:bookmarkStart w:id="157" w:name="sec157"/>
      <w:pPr>
        <w:pStyle w:val="Heading3"/>
      </w:pPr>
      <w:r>
        <w:t>08 影像</w:t>
      </w:r>
      <w:bookmarkEnd w:id="157"/>
    </w:p>
    <w:p>
      <w:r>
        <w:t>按基础病和通路问题选择。报告原文与临床分析分开。</w:t>
      </w:r>
    </w:p>
    <w:p>
      <w:bookmarkStart w:id="159" w:name="sec159"/>
      <w:pPr>
        <w:pStyle w:val="Heading3"/>
      </w:pPr>
      <w:r>
        <w:t>09 免疫与病因检查</w:t>
      </w:r>
      <w:bookmarkEnd w:id="159"/>
    </w:p>
    <w:p>
      <w:r>
        <w:t>脓毒症等证据按真实病因检查。申请不证明结果已回。</w:t>
      </w:r>
    </w:p>
    <w:p>
      <w:bookmarkStart w:id="161" w:name="sec161"/>
      <w:pPr>
        <w:pStyle w:val="Heading3"/>
      </w:pPr>
      <w:r>
        <w:t>10 病理或替代性专科证据</w:t>
      </w:r>
      <w:bookmarkEnd w:id="161"/>
    </w:p>
    <w:p>
      <w:r>
        <w:t>病理不是CRRT常规，基础肾病按实际。按实际适用性替换，不强迫不必要操作。</w:t>
      </w:r>
    </w:p>
    <w:p>
      <w:bookmarkStart w:id="163" w:name="sec163"/>
      <w:pPr>
        <w:pStyle w:val="Heading3"/>
      </w:pPr>
      <w:r>
        <w:t>11 诊断标准</w:t>
      </w:r>
      <w:bookmarkEnd w:id="163"/>
    </w:p>
    <w:p>
      <w:r>
        <w:t>机器计划净超滤不等患者实际净移除；中断时段单独核算。标准不完整时保持待明确，不用模板强行确诊。</w:t>
      </w:r>
    </w:p>
    <w:p>
      <w:bookmarkStart w:id="165" w:name="sec165"/>
      <w:pPr>
        <w:pStyle w:val="Heading3"/>
      </w:pPr>
      <w:r>
        <w:t>12 诊断依据</w:t>
      </w:r>
      <w:bookmarkEnd w:id="165"/>
    </w:p>
    <w:p>
      <w:r>
        <w:t>将本患者关于小时或指定区间尿量及患者总平衡、血钾血气钙镁磷及按抗凝方案监测，不虚构剂量及相关病史逐项对应于诊断；列支持、反对及未获得证据。</w:t>
      </w:r>
    </w:p>
    <w:p>
      <w:bookmarkStart w:id="167" w:name="sec167"/>
      <w:pPr>
        <w:pStyle w:val="Heading3"/>
      </w:pPr>
      <w:r>
        <w:t>13 鉴别诊断</w:t>
      </w:r>
      <w:bookmarkEnd w:id="167"/>
    </w:p>
    <w:p>
      <w:r>
        <w:t>设备管路异常、通路问题及病情恶化。对本例逐项说明支持、反对及下一步，不机械宣称排除。</w:t>
      </w:r>
    </w:p>
    <w:p>
      <w:bookmarkStart w:id="169" w:name="sec169"/>
      <w:pPr>
        <w:pStyle w:val="Heading3"/>
      </w:pPr>
      <w:r>
        <w:t>14 分型与分期</w:t>
      </w:r>
      <w:bookmarkEnd w:id="169"/>
    </w:p>
    <w:p>
      <w:r>
        <w:t>血流动力学、出血、滤器寿命与电解质风险。无完整变量不补分型、评分或风险百分数。</w:t>
      </w:r>
    </w:p>
    <w:p>
      <w:bookmarkStart w:id="171" w:name="sec171"/>
      <w:pPr>
        <w:pStyle w:val="Heading3"/>
      </w:pPr>
      <w:r>
        <w:t>15 危险分层</w:t>
      </w:r>
      <w:bookmarkEnd w:id="171"/>
    </w:p>
    <w:p>
      <w:r>
        <w:t>低血压出血电解质失衡凝血及抗凝相关异常。潜在风险与已经发生的并发症分开。</w:t>
      </w:r>
    </w:p>
    <w:p>
      <w:bookmarkStart w:id="173" w:name="sec173"/>
      <w:pPr>
        <w:pStyle w:val="Heading3"/>
      </w:pPr>
      <w:r>
        <w:t>16 肾功能动态评价</w:t>
      </w:r>
      <w:bookmarkEnd w:id="173"/>
    </w:p>
    <w:p>
      <w:r>
        <w:t>血钾血气钙镁磷及按抗凝方案监测，不虚构剂量；透析后降低、尿量受利尿影响、跨日基线均说明限制。</w:t>
      </w:r>
    </w:p>
    <w:p>
      <w:bookmarkStart w:id="175" w:name="sec175"/>
      <w:pPr>
        <w:pStyle w:val="Heading3"/>
      </w:pPr>
      <w:r>
        <w:t>17 治疗原则</w:t>
      </w:r>
      <w:bookmarkEnd w:id="175"/>
    </w:p>
    <w:p>
      <w:r>
        <w:t>执行时段、方式、实际剂量和净移除核对，柠檬酸需相应监测。医师建议、已开处方和实际执行分别表达。</w:t>
      </w:r>
    </w:p>
    <w:p>
      <w:bookmarkStart w:id="177" w:name="sec177"/>
      <w:pPr>
        <w:pStyle w:val="Heading3"/>
      </w:pPr>
      <w:r>
        <w:t>18 肾脏替代或特殊治疗评估</w:t>
      </w:r>
      <w:bookmarkEnd w:id="177"/>
    </w:p>
    <w:p>
      <w:r>
        <w:t>评估当前容量、钾、酸碱及尿毒症等器官危险和治疗目标，由真实团队决定方式及时机；仅肌酐升高不自动触发透析。对已在RRT者核每次执行和残肾；特殊人群由相应团队协作。</w:t>
      </w:r>
    </w:p>
    <w:p>
      <w:bookmarkStart w:id="179" w:name="sec179"/>
      <w:pPr>
        <w:pStyle w:val="Heading3"/>
      </w:pPr>
      <w:r>
        <w:t>19 药物管理</w:t>
      </w:r>
      <w:bookmarkEnd w:id="179"/>
    </w:p>
    <w:p>
      <w:r>
        <w:t>执行时段、方式、实际剂量和净移除核对，柠檬酸需相应监测；核肾功能适用、感染出血及停复。真实剂量途径频次来自医嘱和执行，不由AI补造。</w:t>
      </w:r>
    </w:p>
    <w:p>
      <w:bookmarkStart w:id="181" w:name="sec181"/>
      <w:pPr>
        <w:pStyle w:val="Heading3"/>
      </w:pPr>
      <w:r>
        <w:t>20 并发症</w:t>
      </w:r>
      <w:bookmarkEnd w:id="181"/>
    </w:p>
    <w:p>
      <w:r>
        <w:t>低血压出血电解质失衡凝血及抗凝相关异常。若出现异常转06，记录事件时刻、实际措施及复评。</w:t>
      </w:r>
    </w:p>
    <w:p>
      <w:bookmarkStart w:id="183" w:name="sec183"/>
      <w:pPr>
        <w:pStyle w:val="Heading3"/>
      </w:pPr>
      <w:r>
        <w:t>21 首次病程</w:t>
      </w:r>
      <w:bookmarkEnd w:id="183"/>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鉴别诊断：【针对本例设备管路异常、通路问题及病情恶化的支持反对】</w:t>
      </w:r>
    </w:p>
    <w:p>
      <w:pPr>
        <w:keepNext/>
        <w:keepLines/>
        <w:spacing w:after="0" w:line="252" w:lineRule="auto"/>
      </w:pPr>
      <w:r>
        <w:t>风险及计划：【真实医师对低血压出血电解质失衡凝血及抗凝相关异常的评估及安排】。</w:t>
      </w:r>
    </w:p>
    <w:p>
      <w:r>
        <w:t>```</w:t>
      </w:r>
    </w:p>
    <w:p>
      <w:bookmarkStart w:id="185" w:name="sec185"/>
      <w:pPr>
        <w:pStyle w:val="Heading3"/>
      </w:pPr>
      <w:r>
        <w:t>22 日常病程</w:t>
      </w:r>
      <w:bookmarkEnd w:id="185"/>
    </w:p>
    <w:p>
      <w:pPr>
        <w:keepNext/>
      </w:pPr>
      <w:r>
        <w:t>【真实记录日期及时间】 日常病程</w:t>
      </w:r>
    </w:p>
    <w:p>
      <w:pPr>
        <w:keepNext/>
      </w:pPr>
      <w:r>
        <w:t>```text</w:t>
      </w:r>
    </w:p>
    <w:p>
      <w:pPr>
        <w:keepNext/>
        <w:keepLines/>
        <w:spacing w:after="0" w:line="252" w:lineRule="auto"/>
      </w:pPr>
      <w:r>
        <w:t>患者今日【真实变化】，查体【与生命体征灌注容量和通路相关的当次实查】，检查【实际日期及血钾血气钙镁磷及按抗凝方案监测，不虚构剂量的结果】。目前【诊断确定度和真实阶段】，已实施【治疗执行与反应】，后续【围绕停治恢复与转间歇透析依据自主功能和临床状态的真实计划】。</w:t>
      </w:r>
    </w:p>
    <w:p>
      <w:r>
        <w:t>```</w:t>
      </w:r>
    </w:p>
    <w:p>
      <w:bookmarkStart w:id="187" w:name="sec187"/>
      <w:pPr>
        <w:pStyle w:val="Heading3"/>
      </w:pPr>
      <w:r>
        <w:t>23 主治医师查房</w:t>
      </w:r>
      <w:bookmarkEnd w:id="187"/>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血钾血气钙镁磷及按抗凝方案监测，不虚构剂量、尿量容量及实际治疗执行的真实意见】，后续【近期监测】。</w:t>
      </w:r>
    </w:p>
    <w:p>
      <w:r>
        <w:t>```</w:t>
      </w:r>
    </w:p>
    <w:p>
      <w:bookmarkStart w:id="189" w:name="sec189"/>
      <w:pPr>
        <w:pStyle w:val="Heading3"/>
      </w:pPr>
      <w:r>
        <w:t>24 副主任医师查房</w:t>
      </w:r>
      <w:bookmarkEnd w:id="189"/>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机器计划净超滤不等患者实际净移除；中断时段单独核算与设备管路异常、通路问题及病情恶化的真实复核，及治疗优化意见】，下一步【真实计划】。</w:t>
      </w:r>
    </w:p>
    <w:p>
      <w:r>
        <w:t>```</w:t>
      </w:r>
    </w:p>
    <w:p>
      <w:bookmarkStart w:id="191" w:name="sec191"/>
      <w:pPr>
        <w:pStyle w:val="Heading3"/>
      </w:pPr>
      <w:r>
        <w:t>25 主任医师查房</w:t>
      </w:r>
      <w:bookmarkEnd w:id="191"/>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连续性肾脏替代治疗的复杂证据、执行时段、方式、实际剂量和净移除核对，柠檬酸需相应监测的重大权衡及低血压出血电解质失衡凝血及抗凝相关异常与长期预后】，后续【真实决策】。</w:t>
      </w:r>
    </w:p>
    <w:p>
      <w:r>
        <w:t>```</w:t>
      </w:r>
    </w:p>
    <w:p>
      <w:bookmarkStart w:id="193" w:name="sec193"/>
      <w:pPr>
        <w:pStyle w:val="Heading3"/>
      </w:pPr>
      <w:r>
        <w:t>26 特殊操作前后病程</w:t>
      </w:r>
      <w:bookmarkEnd w:id="193"/>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5" w:name="sec195"/>
      <w:pPr>
        <w:pStyle w:val="Heading3"/>
      </w:pPr>
      <w:r>
        <w:t>27 治疗调整病程</w:t>
      </w:r>
      <w:bookmarkEnd w:id="195"/>
    </w:p>
    <w:p>
      <w:pPr>
        <w:keepNext/>
      </w:pPr>
      <w:r>
        <w:t>【真实记录日期及时间】 治疗调整病程</w:t>
      </w:r>
    </w:p>
    <w:p>
      <w:pPr>
        <w:keepNext/>
      </w:pPr>
      <w:r>
        <w:t>```text</w:t>
      </w:r>
    </w:p>
    <w:p>
      <w:pPr>
        <w:keepNext/>
        <w:keepLines/>
        <w:spacing w:after="0" w:line="252" w:lineRule="auto"/>
      </w:pPr>
      <w:r>
        <w:t>针对【实际问题和变化】，医师决定【有关执行时段、方式、实际剂量和净移除核对，柠檬酸需相应监测的真实调整】，医嘱【状态】，实际执行【来源】，反应及停复【事实】，后续【真实复查安排】。</w:t>
      </w:r>
    </w:p>
    <w:p>
      <w:r>
        <w:t>```</w:t>
      </w:r>
    </w:p>
    <w:p>
      <w:bookmarkStart w:id="197" w:name="sec197"/>
      <w:pPr>
        <w:pStyle w:val="Heading3"/>
      </w:pPr>
      <w:r>
        <w:t>28 异常病程</w:t>
      </w:r>
      <w:bookmarkEnd w:id="197"/>
    </w:p>
    <w:p>
      <w:pPr>
        <w:keepNext/>
      </w:pPr>
      <w:r>
        <w:t>【真实记录日期及时间】 异常病程</w:t>
      </w:r>
    </w:p>
    <w:p>
      <w:pPr>
        <w:keepNext/>
      </w:pPr>
      <w:r>
        <w:t>```text</w:t>
      </w:r>
    </w:p>
    <w:p>
      <w:pPr>
        <w:keepNext/>
        <w:keepLines/>
        <w:spacing w:after="0" w:line="252" w:lineRule="auto"/>
      </w:pPr>
      <w:r>
        <w:t>于【真实时点】发生【症状或异常】，当时【生命体征和关键检查】，考虑【与低血压出血电解质失衡凝血及抗凝相关异常相关的判断及确定度】，已采取【实际措施时间】，复评【结果】，后续【现场团队安排】。</w:t>
      </w:r>
    </w:p>
    <w:p>
      <w:r>
        <w:t>```</w:t>
      </w:r>
    </w:p>
    <w:p>
      <w:bookmarkStart w:id="199" w:name="sec199"/>
      <w:pPr>
        <w:pStyle w:val="Heading3"/>
      </w:pPr>
      <w:r>
        <w:t>29 出院记录</w:t>
      </w:r>
      <w:bookmarkEnd w:id="199"/>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诊疗经过：【连续性肾脏替代治疗证据演变及每次实际治疗】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出院计划：【真实带药、治疗与停治恢复与转间歇透析依据自主功能和临床状态】。</w:t>
      </w:r>
    </w:p>
    <w:p>
      <w:r>
        <w:t>```</w:t>
      </w:r>
    </w:p>
    <w:p>
      <w:bookmarkStart w:id="201" w:name="sec201"/>
      <w:pPr>
        <w:pStyle w:val="Heading3"/>
      </w:pPr>
      <w:r>
        <w:t>30 出院医嘱</w:t>
      </w:r>
      <w:bookmarkEnd w:id="201"/>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复查及待回报：【围绕停治恢复与转间歇透析依据自主功能和临床状态的实际日期项目责任】</w:t>
      </w:r>
    </w:p>
    <w:p>
      <w:pPr>
        <w:keepNext/>
        <w:keepLines/>
        <w:spacing w:after="0" w:line="252" w:lineRule="auto"/>
      </w:pPr>
      <w:r>
        <w:t>警示症状：【与低血压出血电解质失衡凝血及抗凝相关异常相关且已真实交代的内容】。</w:t>
      </w:r>
    </w:p>
    <w:p>
      <w:r>
        <w:t>```</w:t>
      </w:r>
    </w:p>
    <w:p>
      <w:bookmarkStart w:id="203" w:name="sec203"/>
      <w:pPr>
        <w:pStyle w:val="Heading3"/>
      </w:pPr>
      <w:r>
        <w:t>31 长期随访</w:t>
      </w:r>
      <w:bookmarkEnd w:id="203"/>
    </w:p>
    <w:p>
      <w:r>
        <w:t>停治恢复与转间歇透析依据自主功能和临床状态。记录真实预约和实际完成，不把计划写完成。</w:t>
      </w:r>
    </w:p>
    <w:p>
      <w:bookmarkStart w:id="205" w:name="sec205"/>
      <w:pPr>
        <w:pStyle w:val="Heading3"/>
      </w:pPr>
      <w:r>
        <w:t>32 最终质控</w:t>
      </w:r>
      <w:bookmarkEnd w:id="205"/>
    </w:p>
    <w:p>
      <w:r>
        <w:t>机器计划净超滤不等患者实际净移除；中断时段单独核算；核每次诊断、检查可知时间、实际执行和病理不是CRRT常规，基础肾病按实际的证据边界，按10终审。</w:t>
      </w:r>
    </w:p>
    <w:p>
      <w:bookmarkStart w:id="207" w:name="sec207"/>
      <w:pPr>
        <w:pStyle w:val="Heading3"/>
      </w:pPr>
      <w:r>
        <w:t>33 参考指南与版本</w:t>
      </w:r>
      <w:bookmarkEnd w:id="207"/>
    </w:p>
    <w:p>
      <w:r>
        <w:t>采用文末R04、R06、R20的相应正式版本和适用人群。主路径是文书组织，不将所有提示宣称为指南分级推荐；具体推荐及药物使用需实际查原文和本院规范。</w:t>
      </w:r>
    </w:p>
    <w:p>
      <w:bookmarkStart w:id="209" w:name="sec209"/>
      <w:pPr>
        <w:pStyle w:val="Heading1"/>
      </w:pPr>
      <w:r>
        <w:t>相关疾病和治疗分支的差异化调用</w:t>
      </w:r>
      <w:bookmarkEnd w:id="209"/>
    </w:p>
    <w:p>
      <w:bookmarkStart w:id="210" w:name="sec210"/>
      <w:pPr>
        <w:pStyle w:val="Heading2"/>
      </w:pPr>
      <w:r>
        <w:t>充分及干体重及超滤</w:t>
      </w:r>
      <w:bookmarkEnd w:id="210"/>
    </w:p>
    <w:p>
      <w:r>
        <w:t>实际采样计算、症状容量和耐受，多次观察；目标干体重非实测。 同时继承上述必要资料、文书及真实性合同；仅在该分支确实适用时调用，不把它当已确诊事实。</w:t>
      </w:r>
    </w:p>
    <w:p>
      <w:bookmarkStart w:id="212" w:name="sec212"/>
      <w:pPr>
        <w:pStyle w:val="Heading2"/>
      </w:pPr>
      <w:r>
        <w:t>高血压及低血压及痉挛</w:t>
      </w:r>
      <w:bookmarkEnd w:id="212"/>
    </w:p>
    <w:p>
      <w:r>
        <w:t>相对透析时点、真实超滤药物、处理及反应逐项核，不抹去异常。 同时继承上述必要资料、文书及真实性合同；仅在该分支确实适用时调用，不把它当已确诊事实。</w:t>
      </w:r>
    </w:p>
    <w:p>
      <w:bookmarkStart w:id="214" w:name="sec214"/>
      <w:pPr>
        <w:pStyle w:val="Heading2"/>
      </w:pPr>
      <w:r>
        <w:t>感染及抗凝</w:t>
      </w:r>
      <w:bookmarkEnd w:id="214"/>
    </w:p>
    <w:p>
      <w:r>
        <w:t>标本、局部通路和全身证据，抗凝实际执行与出血风险。 同时继承上述必要资料、文书及真实性合同；仅在该分支确实适用时调用，不把它当已确诊事实。</w:t>
      </w:r>
    </w:p>
    <w:p>
      <w:bookmarkStart w:id="216" w:name="sec216"/>
      <w:pPr>
        <w:pStyle w:val="Heading2"/>
      </w:pPr>
      <w:r>
        <w:t>狭窄及血栓及导管及内瘘</w:t>
      </w:r>
      <w:bookmarkEnd w:id="216"/>
    </w:p>
    <w:p>
      <w:r>
        <w:t>临床功能与影像、通路建立和可用状态分离；成熟需真实评估。 同时继承上述必要资料、文书及真实性合同；仅在该分支确实适用时调用，不把它当已确诊事实。</w:t>
      </w:r>
    </w:p>
    <w:p>
      <w:bookmarkStart w:id="218" w:name="sec218"/>
      <w:pPr>
        <w:pStyle w:val="Heading2"/>
      </w:pPr>
      <w:r>
        <w:t>转换及停止及恢复</w:t>
      </w:r>
      <w:bookmarkEnd w:id="218"/>
    </w:p>
    <w:p>
      <w:r>
        <w:t>旧模式结束、新处方实际起始和停机时段独立，不套用旧设置。 同时继承上述必要资料、文书及真实性合同；仅在该分支确实适用时调用，不把它当已确诊事实。</w:t>
      </w:r>
    </w:p>
    <w:p>
      <w:bookmarkStart w:id="220" w:name="sec220"/>
      <w:pPr>
        <w:pStyle w:val="Heading1"/>
      </w:pPr>
      <w:r>
        <w:t>原始需求覆盖索引</w:t>
      </w:r>
      <w:bookmarkEnd w:id="220"/>
    </w:p>
    <w:p>
      <w:r>
        <w:t>1. 首次血液透析。</w:t>
      </w:r>
    </w:p>
    <w:p>
      <w:r>
        <w:t>2. 维持性血液透析。</w:t>
      </w:r>
    </w:p>
    <w:p>
      <w:r>
        <w:t>3. 急诊血液透析。</w:t>
      </w:r>
    </w:p>
    <w:p>
      <w:r>
        <w:t>4. 常规血液透析。</w:t>
      </w:r>
    </w:p>
    <w:p>
      <w:r>
        <w:t>5. 血液透析滤过。</w:t>
      </w:r>
    </w:p>
    <w:p>
      <w:r>
        <w:t>6. 其他适用血液净化治疗。</w:t>
      </w:r>
    </w:p>
    <w:p>
      <w:r>
        <w:t>7. 透析充分性评估。</w:t>
      </w:r>
    </w:p>
    <w:p>
      <w:r>
        <w:t>8. 干体重评估。</w:t>
      </w:r>
    </w:p>
    <w:p>
      <w:r>
        <w:t>9. 超滤管理。</w:t>
      </w:r>
    </w:p>
    <w:p>
      <w:r>
        <w:t>10. 透析相关低血压。</w:t>
      </w:r>
    </w:p>
    <w:p>
      <w:r>
        <w:t>11. 透析相关高血压。</w:t>
      </w:r>
    </w:p>
    <w:p>
      <w:r>
        <w:t>12. 透析中肌肉痉挛。</w:t>
      </w:r>
    </w:p>
    <w:p>
      <w:r>
        <w:t>13. 透析相关感染。</w:t>
      </w:r>
    </w:p>
    <w:p>
      <w:r>
        <w:t>14. 透析抗凝。</w:t>
      </w:r>
    </w:p>
    <w:p>
      <w:r>
        <w:t>15. 透析导管相关感染。</w:t>
      </w:r>
    </w:p>
    <w:p>
      <w:r>
        <w:t>16. 自体动静脉内瘘。</w:t>
      </w:r>
    </w:p>
    <w:p>
      <w:r>
        <w:t>17. 血管通路狭窄和血栓。</w:t>
      </w:r>
    </w:p>
    <w:p>
      <w:r>
        <w:t>18. 临时及长期透析导管管理。</w:t>
      </w:r>
    </w:p>
    <w:p>
      <w:r>
        <w:t>19. CRRT启动。</w:t>
      </w:r>
    </w:p>
    <w:p>
      <w:r>
        <w:t>20. CVVH、CVVHD及CVVHDF。</w:t>
      </w:r>
    </w:p>
    <w:p>
      <w:r>
        <w:t>21. CRRT液体平衡。</w:t>
      </w:r>
    </w:p>
    <w:p>
      <w:r>
        <w:t>22. CRRT抗凝及相关并发症。</w:t>
      </w:r>
    </w:p>
    <w:p>
      <w:r>
        <w:t>23. 血液透析与CRRT转换。</w:t>
      </w:r>
    </w:p>
    <w:p>
      <w:r>
        <w:t>24. 血液净化停止及恢复。</w:t>
      </w:r>
    </w:p>
    <w:p>
      <w:r>
        <w:t>25. 长期血液透析随访。</w:t>
      </w:r>
    </w:p>
    <w:p>
      <w:bookmarkStart w:id="246" w:name="sec246"/>
      <w:pPr>
        <w:pStyle w:val="Heading1"/>
      </w:pPr>
      <w:r>
        <w:t>虚构病例与完整示范</w:t>
      </w:r>
      <w:bookmarkEnd w:id="246"/>
    </w:p>
    <w:p>
      <w:r>
        <w:t>以下为虚构病例，不进入真实患者事实。输入：N28/E1；CVVHDF 15时实际开始，参数未提供。</w:t>
      </w:r>
    </w:p>
    <w:p>
      <w:pPr>
        <w:keepNext/>
      </w:pPr>
      <w:r>
        <w:t>2026年10月29日 09:00 CRRT启动</w:t>
      </w:r>
    </w:p>
    <w:p>
      <w:pPr>
        <w:keepNext/>
      </w:pPr>
      <w:r>
        <w:t>```text</w:t>
      </w:r>
    </w:p>
    <w:p>
      <w:pPr>
        <w:keepNext/>
        <w:keepLines/>
        <w:spacing w:after="0" w:line="252" w:lineRule="auto"/>
      </w:pPr>
      <w:r>
        <w:t>15:00已开始CVVHDF治疗，具体机器设置及抗凝参数未提供，不予补写。继续按实际执行记录追踪治疗时段、液体移除和相关监测。</w:t>
      </w:r>
    </w:p>
    <w:p>
      <w:r>
        <w:t>```</w:t>
      </w:r>
    </w:p>
    <w:p>
      <w:r>
        <w:t>核查重点：形成示例正文；必保留事实：15:00、CVVHDF、未提供。详见10静态模拟案例28。</w:t>
      </w:r>
    </w:p>
    <w:p>
      <w:bookmarkStart w:id="250" w:name="sec250"/>
      <w:pPr>
        <w:pStyle w:val="Heading1"/>
      </w:pPr>
      <w:r>
        <w:t>真实性边界与常见错误</w:t>
      </w:r>
      <w:bookmarkEnd w:id="250"/>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54" w:name="sec254"/>
      <w:pPr>
        <w:pStyle w:val="Heading1"/>
      </w:pPr>
      <w:r>
        <w:t>最终核对及协同</w:t>
      </w:r>
      <w:bookmarkEnd w:id="254"/>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8" w:name="sec268"/>
      <w:pPr>
        <w:pStyle w:val="Heading1"/>
      </w:pPr>
      <w:r>
        <w:t>参考依据与版本维护</w:t>
      </w:r>
      <w:bookmarkEnd w:id="268"/>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[R04] 血液净化标准操作规程。国家卫生健康委，2021正式。适用：血液净化操作及质控。核验日期2026年10月29日；核验范围为发布状态及本模块引用规则，不代表所有推荐已逐条审查。</w:t>
      </w:r>
    </w:p>
    <w:p>
      <w:r>
        <w:t>https://www.nhc.gov.cn/wjw/c100175/202111/0f854f7e65cf49bebd930a0f95c8efad.shtml</w:t>
      </w:r>
    </w:p>
    <w:p>
      <w:r>
        <w:t>[R06] Acute Kidney Injury。KDIGO，2012正式。适用：AKI定义分期和肾脏替代治疗。核验日期2026年10月29日；核验范围为发布状态及本模块引用规则，不代表所有推荐已逐条审查。</w:t>
      </w:r>
    </w:p>
    <w:p>
      <w:r>
        <w:t>https://kdigo.org/wp-content/uploads/2016/10/KDIGO-2012-AKI-Guideline-English.pdf</w:t>
      </w:r>
    </w:p>
    <w:p>
      <w:r>
        <w:t>[R20] Vascular Access Guideline。KDOQI NKF，2019更新 2020发表。适用：血透通路生命周期及并发症。核验日期2026年10月29日；核验范围为发布状态及本模块引用规则，不代表所有推荐已逐条审查。</w:t>
      </w:r>
    </w:p>
    <w:p>
      <w:r>
        <w:t>https://www.kidney.org/professionals/kdoqi/guidelines-and-commentaries/vascular-access</w:t>
      </w:r>
    </w:p>
    <w:p>
      <w:r>
        <w:t>[R22] 中国肾性贫血诊治临床实践指南。中国医师协会肾脏内科医师分会指南工作组，2021正式发表；本次仅核题录与摘要。适用：肾性贫血；具体推荐须核全文。核验日期2026年10月29日；核验范围为发布状态及本模块引用规则，不代表所有推荐已逐条审查。</w:t>
      </w:r>
    </w:p>
    <w:p>
      <w:r>
        <w:t>https://cs.medjournals.cn/cn/toc/57744</w:t>
      </w:r>
    </w:p>
    <w:p>
      <w:r>
        <w:t>[R23] 维持性血液透析合并肾性贫血临床管理中国专家共识。中国研究型医院学会血液净化专业委员会等，2026正式发表；本次仅核期刊题录与摘要。适用：维持性血透贫血。核验日期2026年10月29日；核验范围为发布状态及本模块引用规则，不代表所有推荐已逐条审查。</w:t>
      </w:r>
    </w:p>
    <w:p>
      <w:r>
        <w:t>https://www.cjbp.org.cn/CN/Y2026/V25/I05</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106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