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108 肾移植后内科管理特殊人群及复杂罕见肾病模板库</w:t>
      </w:r>
    </w:p>
    <w:p>
      <w:r>
        <w:t>肾内科 AI 病历书写系统 V1.0</w:t>
      </w:r>
    </w:p>
    <w:p>
      <w:r>
        <w:t>第三级模块  医师审核用规则与模板</w:t>
      </w:r>
    </w:p>
    <w:p>
      <w:r>
        <w:t>编制及来源核验 2026年10月29日</w:t>
      </w:r>
    </w:p>
    <w:p>
      <w:r>
        <w:t>专病知识、诊断边界及33项连续文书主路径，并用差异分支覆盖相关病种。</w:t>
      </w:r>
    </w:p>
    <w:p>
      <w:r>
        <w:t>使用范围：真实病例资料的辅助拟稿、连续病程整理及医师质控。</w:t>
      </w:r>
    </w:p>
    <w:p>
      <w:r>
        <w:t>验证状态：规则与虚构病例验证见10；未经医院真实病例试用和授权医师签署，不作为临床认证声明。</w:t>
      </w:r>
    </w:p>
    <w:p>
      <w:r>
        <w:br w:type="page"/>
      </w:r>
    </w:p>
    <w:p>
      <w:pPr>
        <w:pStyle w:val="Heading1"/>
      </w:pPr>
      <w:r>
        <w:t>目录</w:t>
      </w:r>
    </w:p>
    <w:p>
      <w:hyperlink w:anchor="sec0">
        <w:r>
          <w:t>模块使用说明</w:t>
        </w:r>
      </w:hyperlink>
    </w:p>
    <w:p>
      <w:hyperlink w:anchor="sec6">
        <w:r>
          <w:t>诊断及版本基线</w:t>
        </w:r>
      </w:hyperlink>
    </w:p>
    <w:p>
      <w:hyperlink w:anchor="sec8">
        <w:r>
          <w:t>肾移植后功能异常和免疫管理 的33项路径</w:t>
        </w:r>
      </w:hyperlink>
    </w:p>
    <w:p>
      <w:hyperlink w:anchor="sec75">
        <w:r>
          <w:t>妊娠合并肾病及妊娠AKI 的33项路径</w:t>
        </w:r>
      </w:hyperlink>
    </w:p>
    <w:p>
      <w:hyperlink w:anchor="sec142">
        <w:r>
          <w:t>儿童老年肿瘤及罕见复杂肾病 的33项路径</w:t>
        </w:r>
      </w:hyperlink>
    </w:p>
    <w:p>
      <w:hyperlink w:anchor="sec209">
        <w:r>
          <w:t>相关疾病和治疗分支的差异化调用</w:t>
        </w:r>
      </w:hyperlink>
    </w:p>
    <w:p>
      <w:hyperlink w:anchor="sec220">
        <w:r>
          <w:t>原始需求覆盖索引</w:t>
        </w:r>
      </w:hyperlink>
    </w:p>
    <w:p>
      <w:hyperlink w:anchor="sec241">
        <w:r>
          <w:t>虚构病例与完整示范</w:t>
        </w:r>
      </w:hyperlink>
    </w:p>
    <w:p>
      <w:hyperlink w:anchor="sec245">
        <w:r>
          <w:t>真实性边界与常见错误</w:t>
        </w:r>
      </w:hyperlink>
    </w:p>
    <w:p>
      <w:hyperlink w:anchor="sec249">
        <w:r>
          <w:t>最终核对及协同</w:t>
        </w:r>
      </w:hyperlink>
    </w:p>
    <w:p>
      <w:hyperlink w:anchor="sec263">
        <w:r>
          <w:t>参考依据与版本维护</w:t>
        </w:r>
      </w:hyperlink>
    </w:p>
    <w:p>
      <w:r>
        <w:br w:type="page"/>
      </w:r>
    </w:p>
    <w:p>
      <w:bookmarkStart w:id="0" w:name="sec0"/>
      <w:pPr>
        <w:pStyle w:val="Heading1"/>
      </w:pPr>
      <w:r>
        <w:t>模块使用说明</w:t>
      </w:r>
      <w:bookmarkEnd w:id="0"/>
    </w:p>
    <w:p>
      <w:r>
        <w:t>功能定位：专病知识、诊断边界及33项连续文书主路径，并用差异分支覆盖相关病种。</w:t>
      </w:r>
    </w:p>
    <w:p>
      <w:r>
        <w:t>适用场景与自动调用：识别该领域疾病、综合征、治疗阶段、复发或随访。</w:t>
      </w:r>
    </w:p>
    <w:p>
      <w:r>
        <w:t>必要资料：稳定史、当次肾脏实查及原始尿检肾功能，相关影像免疫病理、治疗及真实意见。</w:t>
      </w:r>
    </w:p>
    <w:p>
      <w:r>
        <w:t>每项事实绑定患者及可靠第二标识、本次住院、事件、发生或采样时间、结果可知时间、来源、核验状态。床号不作唯一键。未知、未提供、未做、待回报、冲突、阴性和阳性分别表达。稳定病史可保留日期和来源继承；查体、尿量、肌酐、体重、处方及执行须逐日或逐事件更新。</w:t>
      </w:r>
    </w:p>
    <w:p>
      <w:r>
        <w:t>本库用于具备相应权限的医师审核前拟稿与质控。它是文档规则库，并非已部署电子病历接口、后台调度、患者数据库或自动处方工具。无读取能力时需实际提供相关模块；不同患者和住院资料不得进入通用规则库。模拟结果不替代真实患者前瞻性验证或医院准入。真实诊疗、知情同意、签名及留痕修改按医疗制度完成。</w:t>
      </w:r>
    </w:p>
    <w:p>
      <w:bookmarkStart w:id="6" w:name="sec6"/>
      <w:pPr>
        <w:pStyle w:val="Heading1"/>
      </w:pPr>
      <w:r>
        <w:t>诊断及版本基线</w:t>
      </w:r>
      <w:bookmarkEnd w:id="6"/>
    </w:p>
    <w:p>
      <w:r>
        <w:t>以下三条主要路径各含33项；同一患者只加载实际相关路径。其他相关病种使用后续差异分支，不把相邻疾病的病理、剂量或风险照搬。知识说明不是患者已有表现。</w:t>
      </w:r>
    </w:p>
    <w:p>
      <w:bookmarkStart w:id="8" w:name="sec8"/>
      <w:pPr>
        <w:pStyle w:val="Heading1"/>
      </w:pPr>
      <w:r>
        <w:t>肾移植后功能异常和免疫管理 的33项路径</w:t>
      </w:r>
      <w:bookmarkEnd w:id="8"/>
    </w:p>
    <w:p>
      <w:bookmarkStart w:id="9" w:name="sec9"/>
      <w:pPr>
        <w:pStyle w:val="Heading3"/>
      </w:pPr>
      <w:r>
        <w:t>01 疾病定义</w:t>
      </w:r>
      <w:bookmarkEnd w:id="9"/>
    </w:p>
    <w:p>
      <w:r>
        <w:t>移植肾损伤病因多元，排斥是需证据鉴别之一</w:t>
      </w:r>
    </w:p>
    <w:p>
      <w:bookmarkStart w:id="11" w:name="sec11"/>
      <w:pPr>
        <w:pStyle w:val="Heading3"/>
      </w:pPr>
      <w:r>
        <w:t>02 病因与机制</w:t>
      </w:r>
      <w:bookmarkEnd w:id="11"/>
    </w:p>
    <w:p>
      <w:r>
        <w:t>免疫、感染、缺血、梗阻和药物相关机制均可损害移植肾；原病复发和新发肾病可参与，诊断需要多类证据。</w:t>
      </w:r>
    </w:p>
    <w:p>
      <w:bookmarkStart w:id="13" w:name="sec13"/>
      <w:pPr>
        <w:pStyle w:val="Heading3"/>
      </w:pPr>
      <w:r>
        <w:t>03 临床表现</w:t>
      </w:r>
      <w:bookmarkEnd w:id="13"/>
    </w:p>
    <w:p>
      <w:r>
        <w:t>肌酐变化、尿量蛋白变化或感染表现可见，排斥也可能缺少特异症状，不能据症状单独定因。这些是知识范围，不能自动写成患者已有事实。</w:t>
      </w:r>
    </w:p>
    <w:p>
      <w:bookmarkStart w:id="15" w:name="sec15"/>
      <w:pPr>
        <w:pStyle w:val="Heading3"/>
      </w:pPr>
      <w:r>
        <w:t>04 病史采集</w:t>
      </w:r>
      <w:bookmarkEnd w:id="15"/>
    </w:p>
    <w:p>
      <w:r>
        <w:t>移植日期供者背景、基线、用药漏服、浓度采样时点感染；核发生时间、既往日期、真实治疗与反应及信息来源。</w:t>
      </w:r>
    </w:p>
    <w:p>
      <w:bookmarkStart w:id="17" w:name="sec17"/>
      <w:pPr>
        <w:pStyle w:val="Heading3"/>
      </w:pPr>
      <w:r>
        <w:t>05 专科查体</w:t>
      </w:r>
      <w:bookmarkEnd w:id="17"/>
    </w:p>
    <w:p>
      <w:r>
        <w:t>生命体征容量、移植区和感染实查。只写当次实际实施项目。</w:t>
      </w:r>
    </w:p>
    <w:p>
      <w:bookmarkStart w:id="19" w:name="sec19"/>
      <w:pPr>
        <w:pStyle w:val="Heading3"/>
      </w:pPr>
      <w:r>
        <w:t>06 尿液检验</w:t>
      </w:r>
      <w:bookmarkEnd w:id="19"/>
    </w:p>
    <w:p>
      <w:r>
        <w:t>尿量蛋白血尿培养按线索。标本和统计窗口注明，未测不写阴性。</w:t>
      </w:r>
    </w:p>
    <w:p>
      <w:bookmarkStart w:id="21" w:name="sec21"/>
      <w:pPr>
        <w:pStyle w:val="Heading3"/>
      </w:pPr>
      <w:r>
        <w:t>07 肾功能和电解质</w:t>
      </w:r>
      <w:bookmarkEnd w:id="21"/>
    </w:p>
    <w:p>
      <w:r>
        <w:t>肌酐动态、免疫药浓度及感染检测按真实结果。注意采样与RRT时序，不混单位和公式。</w:t>
      </w:r>
    </w:p>
    <w:p>
      <w:bookmarkStart w:id="23" w:name="sec23"/>
      <w:pPr>
        <w:pStyle w:val="Heading3"/>
      </w:pPr>
      <w:r>
        <w:t>08 影像</w:t>
      </w:r>
      <w:bookmarkEnd w:id="23"/>
    </w:p>
    <w:p>
      <w:r>
        <w:t>移植肾超声血流和梗阻评估。报告原文与临床分析分开。</w:t>
      </w:r>
    </w:p>
    <w:p>
      <w:bookmarkStart w:id="25" w:name="sec25"/>
      <w:pPr>
        <w:pStyle w:val="Heading3"/>
      </w:pPr>
      <w:r>
        <w:t>09 免疫与病因检查</w:t>
      </w:r>
      <w:bookmarkEnd w:id="25"/>
    </w:p>
    <w:p>
      <w:r>
        <w:t>按移植团队决定检查BK等感染或免疫证据。申请不证明结果已回。</w:t>
      </w:r>
    </w:p>
    <w:p>
      <w:bookmarkStart w:id="27" w:name="sec27"/>
      <w:pPr>
        <w:pStyle w:val="Heading3"/>
      </w:pPr>
      <w:r>
        <w:t>10 病理或替代性专科证据</w:t>
      </w:r>
      <w:bookmarkEnd w:id="27"/>
    </w:p>
    <w:p>
      <w:r>
        <w:t>移植肾活检及报告分类只能引用真实报告。按实际适用性替换，不强迫不必要操作。</w:t>
      </w:r>
    </w:p>
    <w:p>
      <w:bookmarkStart w:id="29" w:name="sec29"/>
      <w:pPr>
        <w:pStyle w:val="Heading3"/>
      </w:pPr>
      <w:r>
        <w:t>11 诊断标准</w:t>
      </w:r>
      <w:bookmarkEnd w:id="29"/>
    </w:p>
    <w:p>
      <w:r>
        <w:t>肌酐上升不能自动诊断排斥；谷浓度须核采样条件。标准不完整时保持待明确，不用模板强行确诊。</w:t>
      </w:r>
    </w:p>
    <w:p>
      <w:bookmarkStart w:id="31" w:name="sec31"/>
      <w:pPr>
        <w:pStyle w:val="Heading3"/>
      </w:pPr>
      <w:r>
        <w:t>12 诊断依据</w:t>
      </w:r>
      <w:bookmarkEnd w:id="31"/>
    </w:p>
    <w:p>
      <w:r>
        <w:t>将本患者关于尿量蛋白血尿培养按线索、肌酐动态、免疫药浓度及感染检测按真实结果及相关病史逐项对应于诊断；列支持、反对及未获得证据。</w:t>
      </w:r>
    </w:p>
    <w:p>
      <w:bookmarkStart w:id="33" w:name="sec33"/>
      <w:pPr>
        <w:pStyle w:val="Heading3"/>
      </w:pPr>
      <w:r>
        <w:t>13 鉴别诊断</w:t>
      </w:r>
      <w:bookmarkEnd w:id="33"/>
    </w:p>
    <w:p>
      <w:r>
        <w:t>梗阻血管药物毒性感染容量及复发原病。对本例逐项说明支持、反对及下一步，不机械宣称排除。</w:t>
      </w:r>
    </w:p>
    <w:p>
      <w:bookmarkStart w:id="35" w:name="sec35"/>
      <w:pPr>
        <w:pStyle w:val="Heading3"/>
      </w:pPr>
      <w:r>
        <w:t>14 分型与分期</w:t>
      </w:r>
      <w:bookmarkEnd w:id="35"/>
    </w:p>
    <w:p>
      <w:r>
        <w:t>移植后阶段、免疫风险、感染和可逆损伤。无完整变量不补分型、评分或风险百分数。</w:t>
      </w:r>
    </w:p>
    <w:p>
      <w:bookmarkStart w:id="37" w:name="sec37"/>
      <w:pPr>
        <w:pStyle w:val="Heading3"/>
      </w:pPr>
      <w:r>
        <w:t>15 危险分层</w:t>
      </w:r>
      <w:bookmarkEnd w:id="37"/>
    </w:p>
    <w:p>
      <w:r>
        <w:t>排斥感染药物毒性糖尿病和高压。潜在风险与已经发生的并发症分开。</w:t>
      </w:r>
    </w:p>
    <w:p>
      <w:bookmarkStart w:id="39" w:name="sec39"/>
      <w:pPr>
        <w:pStyle w:val="Heading3"/>
      </w:pPr>
      <w:r>
        <w:t>16 肾功能动态评价</w:t>
      </w:r>
      <w:bookmarkEnd w:id="39"/>
    </w:p>
    <w:p>
      <w:r>
        <w:t>肌酐动态、免疫药浓度及感染检测按真实结果；透析后降低、尿量受利尿影响、跨日基线均说明限制。</w:t>
      </w:r>
    </w:p>
    <w:p>
      <w:bookmarkStart w:id="41" w:name="sec41"/>
      <w:pPr>
        <w:pStyle w:val="Heading3"/>
      </w:pPr>
      <w:r>
        <w:t>17 治疗原则</w:t>
      </w:r>
      <w:bookmarkEnd w:id="41"/>
    </w:p>
    <w:p>
      <w:r>
        <w:t>移植团队决定免疫调整；计划医嘱执行和不良反应独立。医师建议、已开处方和实际执行分别表达。</w:t>
      </w:r>
    </w:p>
    <w:p>
      <w:bookmarkStart w:id="43" w:name="sec43"/>
      <w:pPr>
        <w:pStyle w:val="Heading3"/>
      </w:pPr>
      <w:r>
        <w:t>18 肾脏替代或特殊治疗评估</w:t>
      </w:r>
      <w:bookmarkEnd w:id="43"/>
    </w:p>
    <w:p>
      <w:r>
        <w:t>评估当前容量、钾、酸碱及尿毒症等器官危险和治疗目标，由真实团队决定方式及时机；仅肌酐升高不自动触发透析。对已在RRT者核每次执行和残肾；特殊人群由相应团队协作。</w:t>
      </w:r>
    </w:p>
    <w:p>
      <w:bookmarkStart w:id="45" w:name="sec45"/>
      <w:pPr>
        <w:pStyle w:val="Heading3"/>
      </w:pPr>
      <w:r>
        <w:t>19 药物管理</w:t>
      </w:r>
      <w:bookmarkEnd w:id="45"/>
    </w:p>
    <w:p>
      <w:r>
        <w:t>移植团队决定免疫调整；计划医嘱执行和不良反应独立；核肾功能适用、感染出血及停复。真实剂量途径频次来自医嘱和执行，不由AI补造。</w:t>
      </w:r>
    </w:p>
    <w:p>
      <w:bookmarkStart w:id="47" w:name="sec47"/>
      <w:pPr>
        <w:pStyle w:val="Heading3"/>
      </w:pPr>
      <w:r>
        <w:t>20 并发症</w:t>
      </w:r>
      <w:bookmarkEnd w:id="47"/>
    </w:p>
    <w:p>
      <w:r>
        <w:t>排斥感染药物毒性糖尿病和高压。若出现异常转06，记录事件时刻、实际措施及复评。</w:t>
      </w:r>
    </w:p>
    <w:p>
      <w:bookmarkStart w:id="49" w:name="sec49"/>
      <w:pPr>
        <w:pStyle w:val="Heading3"/>
      </w:pPr>
      <w:r>
        <w:t>21 首次病程</w:t>
      </w:r>
      <w:bookmarkEnd w:id="49"/>
    </w:p>
    <w:p>
      <w:pPr>
        <w:keepNext/>
      </w:pPr>
      <w:r>
        <w:t>【真实记录日期及时间】 首次病程</w:t>
      </w:r>
    </w:p>
    <w:p>
      <w:pPr>
        <w:keepNext/>
      </w:pPr>
      <w:r>
        <w:t>```text</w:t>
      </w:r>
    </w:p>
    <w:p>
      <w:pPr>
        <w:keepNext/>
        <w:keepLines/>
        <w:spacing w:after="0" w:line="252" w:lineRule="auto"/>
      </w:pPr>
      <w:r>
        <w:t>病例特点：【本例病史、实查和检查】</w:t>
      </w:r>
    </w:p>
    <w:p>
      <w:pPr>
        <w:keepNext/>
        <w:keepLines/>
        <w:spacing w:after="0" w:line="252" w:lineRule="auto"/>
      </w:pPr>
      <w:r>
        <w:t>初步诊断及依据：【满足本路径标准的真实项目与缺口】</w:t>
      </w:r>
    </w:p>
    <w:p>
      <w:pPr>
        <w:keepNext/>
        <w:keepLines/>
        <w:spacing w:after="0" w:line="252" w:lineRule="auto"/>
      </w:pPr>
      <w:r>
        <w:t>鉴别诊断：【针对本例梗阻血管药物毒性感染容量及复发原病的支持反对】</w:t>
      </w:r>
    </w:p>
    <w:p>
      <w:pPr>
        <w:keepNext/>
        <w:keepLines/>
        <w:spacing w:after="0" w:line="252" w:lineRule="auto"/>
      </w:pPr>
      <w:r>
        <w:t>风险及计划：【真实医师对排斥感染药物毒性糖尿病和高压的评估及安排】。</w:t>
      </w:r>
    </w:p>
    <w:p>
      <w:r>
        <w:t>```</w:t>
      </w:r>
    </w:p>
    <w:p>
      <w:bookmarkStart w:id="51" w:name="sec51"/>
      <w:pPr>
        <w:pStyle w:val="Heading3"/>
      </w:pPr>
      <w:r>
        <w:t>22 日常病程</w:t>
      </w:r>
      <w:bookmarkEnd w:id="51"/>
    </w:p>
    <w:p>
      <w:pPr>
        <w:keepNext/>
      </w:pPr>
      <w:r>
        <w:t>【真实记录日期及时间】 日常病程</w:t>
      </w:r>
    </w:p>
    <w:p>
      <w:pPr>
        <w:keepNext/>
      </w:pPr>
      <w:r>
        <w:t>```text</w:t>
      </w:r>
    </w:p>
    <w:p>
      <w:pPr>
        <w:keepNext/>
        <w:keepLines/>
        <w:spacing w:after="0" w:line="252" w:lineRule="auto"/>
      </w:pPr>
      <w:r>
        <w:t>患者今日【真实变化】，查体【与生命体征容量、移植区和感染实查相关的当次实查】，检查【实际日期及肌酐动态、免疫药浓度及感染检测按真实结果的结果】。目前【诊断确定度和真实阶段】，已实施【治疗执行与反应】，后续【围绕肾功能药物浓度感染与长期移植团队衔接的真实计划】。</w:t>
      </w:r>
    </w:p>
    <w:p>
      <w:r>
        <w:t>```</w:t>
      </w:r>
    </w:p>
    <w:p>
      <w:bookmarkStart w:id="53" w:name="sec53"/>
      <w:pPr>
        <w:pStyle w:val="Heading3"/>
      </w:pPr>
      <w:r>
        <w:t>23 主治医师查房</w:t>
      </w:r>
      <w:bookmarkEnd w:id="53"/>
    </w:p>
    <w:p>
      <w:pPr>
        <w:keepNext/>
      </w:pPr>
      <w:r>
        <w:t>【真实记录日期及时间】 主治医师查房</w:t>
      </w:r>
    </w:p>
    <w:p>
      <w:pPr>
        <w:keepNext/>
      </w:pPr>
      <w:r>
        <w:t>```text</w:t>
      </w:r>
    </w:p>
    <w:p>
      <w:pPr>
        <w:keepNext/>
        <w:keepLines/>
        <w:spacing w:after="0" w:line="252" w:lineRule="auto"/>
      </w:pPr>
      <w:r>
        <w:t>今日随【真实姓名】主治医师查房，患者【真实症状】，实查及检查【当次资料】。主治医师分析【当日肌酐动态、免疫药浓度及感染检测按真实结果、尿量容量及实际治疗执行的真实意见】，后续【近期监测】。</w:t>
      </w:r>
    </w:p>
    <w:p>
      <w:r>
        <w:t>```</w:t>
      </w:r>
    </w:p>
    <w:p>
      <w:bookmarkStart w:id="55" w:name="sec55"/>
      <w:pPr>
        <w:pStyle w:val="Heading3"/>
      </w:pPr>
      <w:r>
        <w:t>24 副主任医师查房</w:t>
      </w:r>
      <w:bookmarkEnd w:id="55"/>
    </w:p>
    <w:p>
      <w:pPr>
        <w:keepNext/>
      </w:pPr>
      <w:r>
        <w:t>【真实记录日期及时间】 副主任医师查房</w:t>
      </w:r>
    </w:p>
    <w:p>
      <w:pPr>
        <w:keepNext/>
      </w:pPr>
      <w:r>
        <w:t>```text</w:t>
      </w:r>
    </w:p>
    <w:p>
      <w:pPr>
        <w:keepNext/>
        <w:keepLines/>
        <w:spacing w:after="0" w:line="252" w:lineRule="auto"/>
      </w:pPr>
      <w:r>
        <w:t>今日随【真实姓名】副主任医师查房，患者【真实变化】，检查及实查【资料】。副主任医师分析【对肌酐上升不能自动诊断排斥；谷浓度须核采样条件与梗阻血管药物毒性感染容量及复发原病的真实复核，及治疗优化意见】，下一步【真实计划】。</w:t>
      </w:r>
    </w:p>
    <w:p>
      <w:r>
        <w:t>```</w:t>
      </w:r>
    </w:p>
    <w:p>
      <w:bookmarkStart w:id="57" w:name="sec57"/>
      <w:pPr>
        <w:pStyle w:val="Heading3"/>
      </w:pPr>
      <w:r>
        <w:t>25 主任医师查房</w:t>
      </w:r>
      <w:bookmarkEnd w:id="57"/>
    </w:p>
    <w:p>
      <w:pPr>
        <w:keepNext/>
      </w:pPr>
      <w:r>
        <w:t>【真实记录日期及时间】 主任医师查房</w:t>
      </w:r>
    </w:p>
    <w:p>
      <w:pPr>
        <w:keepNext/>
      </w:pPr>
      <w:r>
        <w:t>```text</w:t>
      </w:r>
    </w:p>
    <w:p>
      <w:pPr>
        <w:keepNext/>
        <w:keepLines/>
        <w:spacing w:after="0" w:line="252" w:lineRule="auto"/>
      </w:pPr>
      <w:r>
        <w:t>今日随【真实姓名】主任医师查房，患者【真实病情】，实查和检查【资料】。主任医师分析【本例肾移植后功能异常和免疫管理的复杂证据、移植团队决定免疫调整；计划医嘱执行和不良反应独立的重大权衡及排斥感染药物毒性糖尿病和高压与长期预后】，后续【真实决策】。</w:t>
      </w:r>
    </w:p>
    <w:p>
      <w:r>
        <w:t>```</w:t>
      </w:r>
    </w:p>
    <w:p>
      <w:bookmarkStart w:id="59" w:name="sec59"/>
      <w:pPr>
        <w:pStyle w:val="Heading3"/>
      </w:pPr>
      <w:r>
        <w:t>26 特殊操作前后病程</w:t>
      </w:r>
      <w:bookmarkEnd w:id="59"/>
    </w:p>
    <w:p>
      <w:pPr>
        <w:keepNext/>
      </w:pPr>
      <w:r>
        <w:t>【真实记录日期及时间】 特殊操作前后病程</w:t>
      </w:r>
    </w:p>
    <w:p>
      <w:pPr>
        <w:keepNext/>
      </w:pPr>
      <w:r>
        <w:t>```text</w:t>
      </w:r>
    </w:p>
    <w:p>
      <w:pPr>
        <w:keepNext/>
        <w:keepLines/>
        <w:spacing w:after="0" w:line="252" w:lineRule="auto"/>
      </w:pPr>
      <w:r>
        <w:t>本次【真实操作或RRT事件】目前【拟定、已开始、完成或中断状态】，依据【实际评估】，操作执行【原始记录】，当前【实测反应】，检查【已回资料】，后续【医师计划】。未实际发生操作时仅记录评估，不生成术后事实。</w:t>
      </w:r>
    </w:p>
    <w:p>
      <w:r>
        <w:t>```</w:t>
      </w:r>
    </w:p>
    <w:p>
      <w:bookmarkStart w:id="61" w:name="sec61"/>
      <w:pPr>
        <w:pStyle w:val="Heading3"/>
      </w:pPr>
      <w:r>
        <w:t>27 治疗调整病程</w:t>
      </w:r>
      <w:bookmarkEnd w:id="61"/>
    </w:p>
    <w:p>
      <w:pPr>
        <w:keepNext/>
      </w:pPr>
      <w:r>
        <w:t>【真实记录日期及时间】 治疗调整病程</w:t>
      </w:r>
    </w:p>
    <w:p>
      <w:pPr>
        <w:keepNext/>
      </w:pPr>
      <w:r>
        <w:t>```text</w:t>
      </w:r>
    </w:p>
    <w:p>
      <w:pPr>
        <w:keepNext/>
        <w:keepLines/>
        <w:spacing w:after="0" w:line="252" w:lineRule="auto"/>
      </w:pPr>
      <w:r>
        <w:t>针对【实际问题和变化】，医师决定【有关移植团队决定免疫调整；计划医嘱执行和不良反应独立的真实调整】，医嘱【状态】，实际执行【来源】，反应及停复【事实】，后续【真实复查安排】。</w:t>
      </w:r>
    </w:p>
    <w:p>
      <w:r>
        <w:t>```</w:t>
      </w:r>
    </w:p>
    <w:p>
      <w:bookmarkStart w:id="63" w:name="sec63"/>
      <w:pPr>
        <w:pStyle w:val="Heading3"/>
      </w:pPr>
      <w:r>
        <w:t>28 异常病程</w:t>
      </w:r>
      <w:bookmarkEnd w:id="63"/>
    </w:p>
    <w:p>
      <w:pPr>
        <w:keepNext/>
      </w:pPr>
      <w:r>
        <w:t>【真实记录日期及时间】 异常病程</w:t>
      </w:r>
    </w:p>
    <w:p>
      <w:pPr>
        <w:keepNext/>
      </w:pPr>
      <w:r>
        <w:t>```text</w:t>
      </w:r>
    </w:p>
    <w:p>
      <w:pPr>
        <w:keepNext/>
        <w:keepLines/>
        <w:spacing w:after="0" w:line="252" w:lineRule="auto"/>
      </w:pPr>
      <w:r>
        <w:t>于【真实时点】发生【症状或异常】，当时【生命体征和关键检查】，考虑【与排斥感染药物毒性糖尿病和高压相关的判断及确定度】，已采取【实际措施时间】，复评【结果】，后续【现场团队安排】。</w:t>
      </w:r>
    </w:p>
    <w:p>
      <w:r>
        <w:t>```</w:t>
      </w:r>
    </w:p>
    <w:p>
      <w:bookmarkStart w:id="65" w:name="sec65"/>
      <w:pPr>
        <w:pStyle w:val="Heading3"/>
      </w:pPr>
      <w:r>
        <w:t>29 出院记录</w:t>
      </w:r>
      <w:bookmarkEnd w:id="65"/>
    </w:p>
    <w:p>
      <w:pPr>
        <w:keepNext/>
      </w:pPr>
      <w:r>
        <w:t>【真实记录日期及时间】 出院记录</w:t>
      </w:r>
    </w:p>
    <w:p>
      <w:pPr>
        <w:keepNext/>
      </w:pPr>
      <w:r>
        <w:t>```text</w:t>
      </w:r>
    </w:p>
    <w:p>
      <w:pPr>
        <w:keepNext/>
        <w:keepLines/>
        <w:spacing w:after="0" w:line="252" w:lineRule="auto"/>
      </w:pPr>
      <w:r>
        <w:t>入院情况：【真实内容】</w:t>
      </w:r>
    </w:p>
    <w:p>
      <w:pPr>
        <w:keepNext/>
        <w:keepLines/>
        <w:spacing w:after="0" w:line="252" w:lineRule="auto"/>
      </w:pPr>
      <w:r>
        <w:t>诊疗经过：【肾移植后功能异常和免疫管理证据演变及每次实际治疗】</w:t>
      </w:r>
    </w:p>
    <w:p>
      <w:pPr>
        <w:keepNext/>
        <w:keepLines/>
        <w:spacing w:after="0" w:line="252" w:lineRule="auto"/>
      </w:pPr>
      <w:r>
        <w:t>出院诊断：【确定度和最终依据】</w:t>
      </w:r>
    </w:p>
    <w:p>
      <w:pPr>
        <w:keepNext/>
        <w:keepLines/>
        <w:spacing w:after="0" w:line="252" w:lineRule="auto"/>
      </w:pPr>
      <w:r>
        <w:t>出院情况：【实查肾功能、容量和遗留问题】</w:t>
      </w:r>
    </w:p>
    <w:p>
      <w:pPr>
        <w:keepNext/>
        <w:keepLines/>
        <w:spacing w:after="0" w:line="252" w:lineRule="auto"/>
      </w:pPr>
      <w:r>
        <w:t>出院计划：【真实带药、治疗与肾功能药物浓度感染与长期移植团队衔接】。</w:t>
      </w:r>
    </w:p>
    <w:p>
      <w:r>
        <w:t>```</w:t>
      </w:r>
    </w:p>
    <w:p>
      <w:bookmarkStart w:id="67" w:name="sec67"/>
      <w:pPr>
        <w:pStyle w:val="Heading3"/>
      </w:pPr>
      <w:r>
        <w:t>30 出院医嘱</w:t>
      </w:r>
      <w:bookmarkEnd w:id="67"/>
    </w:p>
    <w:p>
      <w:pPr>
        <w:keepNext/>
      </w:pPr>
      <w:r>
        <w:t>【真实记录日期及时间】 出院医嘱</w:t>
      </w:r>
    </w:p>
    <w:p>
      <w:pPr>
        <w:keepNext/>
      </w:pPr>
      <w:r>
        <w:t>```text</w:t>
      </w:r>
    </w:p>
    <w:p>
      <w:pPr>
        <w:keepNext/>
        <w:keepLines/>
        <w:spacing w:after="0" w:line="252" w:lineRule="auto"/>
      </w:pPr>
      <w:r>
        <w:t>药物及停复：【真实审核处方和条件】</w:t>
      </w:r>
    </w:p>
    <w:p>
      <w:pPr>
        <w:keepNext/>
        <w:keepLines/>
        <w:spacing w:after="0" w:line="252" w:lineRule="auto"/>
      </w:pPr>
      <w:r>
        <w:t>治疗方式和通路：【适用且已确认安排】</w:t>
      </w:r>
    </w:p>
    <w:p>
      <w:pPr>
        <w:keepNext/>
        <w:keepLines/>
        <w:spacing w:after="0" w:line="252" w:lineRule="auto"/>
      </w:pPr>
      <w:r>
        <w:t>复查及待回报：【围绕肾功能药物浓度感染与长期移植团队衔接的实际日期项目责任】</w:t>
      </w:r>
    </w:p>
    <w:p>
      <w:pPr>
        <w:keepNext/>
        <w:keepLines/>
        <w:spacing w:after="0" w:line="252" w:lineRule="auto"/>
      </w:pPr>
      <w:r>
        <w:t>警示症状：【与排斥感染药物毒性糖尿病和高压相关且已真实交代的内容】。</w:t>
      </w:r>
    </w:p>
    <w:p>
      <w:r>
        <w:t>```</w:t>
      </w:r>
    </w:p>
    <w:p>
      <w:bookmarkStart w:id="69" w:name="sec69"/>
      <w:pPr>
        <w:pStyle w:val="Heading3"/>
      </w:pPr>
      <w:r>
        <w:t>31 长期随访</w:t>
      </w:r>
      <w:bookmarkEnd w:id="69"/>
    </w:p>
    <w:p>
      <w:r>
        <w:t>肾功能药物浓度感染与长期移植团队衔接。记录真实预约和实际完成，不把计划写完成。</w:t>
      </w:r>
    </w:p>
    <w:p>
      <w:bookmarkStart w:id="71" w:name="sec71"/>
      <w:pPr>
        <w:pStyle w:val="Heading3"/>
      </w:pPr>
      <w:r>
        <w:t>32 最终质控</w:t>
      </w:r>
      <w:bookmarkEnd w:id="71"/>
    </w:p>
    <w:p>
      <w:r>
        <w:t>肌酐上升不能自动诊断排斥；谷浓度须核采样条件；核每次诊断、检查可知时间、实际执行和移植肾活检及报告分类只能引用真实报告的证据边界，按10终审。</w:t>
      </w:r>
    </w:p>
    <w:p>
      <w:bookmarkStart w:id="73" w:name="sec73"/>
      <w:pPr>
        <w:pStyle w:val="Heading3"/>
      </w:pPr>
      <w:r>
        <w:t>33 参考指南与版本</w:t>
      </w:r>
      <w:bookmarkEnd w:id="73"/>
    </w:p>
    <w:p>
      <w:r>
        <w:t>采用文末R16、R17、R18、R05、R09的相应正式版本和适用人群。主路径是文书组织，不将所有提示宣称为指南分级推荐；具体推荐及药物使用需实际查原文和本院规范。</w:t>
      </w:r>
    </w:p>
    <w:p>
      <w:bookmarkStart w:id="75" w:name="sec75"/>
      <w:pPr>
        <w:pStyle w:val="Heading1"/>
      </w:pPr>
      <w:r>
        <w:t>妊娠合并肾病及妊娠AKI 的33项路径</w:t>
      </w:r>
      <w:bookmarkEnd w:id="75"/>
    </w:p>
    <w:p>
      <w:bookmarkStart w:id="76" w:name="sec76"/>
      <w:pPr>
        <w:pStyle w:val="Heading3"/>
      </w:pPr>
      <w:r>
        <w:t>01 疾病定义</w:t>
      </w:r>
      <w:bookmarkEnd w:id="76"/>
    </w:p>
    <w:p>
      <w:r>
        <w:t>妊娠生理改变使一般成人eGFR解释失当；母胎风险共同评估</w:t>
      </w:r>
    </w:p>
    <w:p>
      <w:bookmarkStart w:id="78" w:name="sec78"/>
      <w:pPr>
        <w:pStyle w:val="Heading3"/>
      </w:pPr>
      <w:r>
        <w:t>02 病因与机制</w:t>
      </w:r>
      <w:bookmarkEnd w:id="78"/>
    </w:p>
    <w:p>
      <w:r>
        <w:t>妊娠改变血流动力学及正常肌酐水平，妊娠特异疾病、失血感染和原肾病活动可叠加；母胎风险须共同评估。</w:t>
      </w:r>
    </w:p>
    <w:p>
      <w:bookmarkStart w:id="80" w:name="sec80"/>
      <w:pPr>
        <w:pStyle w:val="Heading3"/>
      </w:pPr>
      <w:r>
        <w:t>03 临床表现</w:t>
      </w:r>
      <w:bookmarkEnd w:id="80"/>
    </w:p>
    <w:p>
      <w:r>
        <w:t>可有血压、蛋白尿、肾功能及容量改变或妊娠相关症状，需与孕前状态和孕周结合。这些是知识范围，不能自动写成患者已有事实。</w:t>
      </w:r>
    </w:p>
    <w:p>
      <w:bookmarkStart w:id="82" w:name="sec82"/>
      <w:pPr>
        <w:pStyle w:val="Heading3"/>
      </w:pPr>
      <w:r>
        <w:t>04 病史采集</w:t>
      </w:r>
      <w:bookmarkEnd w:id="82"/>
    </w:p>
    <w:p>
      <w:r>
        <w:t>孕周、孕前肾功能、蛋白血压、产科病史及药物；核发生时间、既往日期、真实治疗与反应及信息来源。</w:t>
      </w:r>
    </w:p>
    <w:p>
      <w:bookmarkStart w:id="84" w:name="sec84"/>
      <w:pPr>
        <w:pStyle w:val="Heading3"/>
      </w:pPr>
      <w:r>
        <w:t>05 专科查体</w:t>
      </w:r>
      <w:bookmarkEnd w:id="84"/>
    </w:p>
    <w:p>
      <w:r>
        <w:t>真实血压容量和产科相关评估由对应团队。只写当次实际实施项目。</w:t>
      </w:r>
    </w:p>
    <w:p>
      <w:bookmarkStart w:id="86" w:name="sec86"/>
      <w:pPr>
        <w:pStyle w:val="Heading3"/>
      </w:pPr>
      <w:r>
        <w:t>06 尿液检验</w:t>
      </w:r>
      <w:bookmarkEnd w:id="86"/>
    </w:p>
    <w:p>
      <w:r>
        <w:t>蛋白定量与尿沉渣，尿量完整记录。标本和统计窗口注明，未测不写阴性。</w:t>
      </w:r>
    </w:p>
    <w:p>
      <w:bookmarkStart w:id="88" w:name="sec88"/>
      <w:pPr>
        <w:pStyle w:val="Heading3"/>
      </w:pPr>
      <w:r>
        <w:t>07 肾功能和电解质</w:t>
      </w:r>
      <w:bookmarkEnd w:id="88"/>
    </w:p>
    <w:p>
      <w:r>
        <w:t>以肌酐和实际临床判断，常用eGFR公式不用于妊娠GFR估计。注意采样与RRT时序，不混单位和公式。</w:t>
      </w:r>
    </w:p>
    <w:p>
      <w:bookmarkStart w:id="90" w:name="sec90"/>
      <w:pPr>
        <w:pStyle w:val="Heading3"/>
      </w:pPr>
      <w:r>
        <w:t>08 影像</w:t>
      </w:r>
      <w:bookmarkEnd w:id="90"/>
    </w:p>
    <w:p>
      <w:r>
        <w:t>超声优先等由临床权衡，影像及对比风险实际讨论。报告原文与临床分析分开。</w:t>
      </w:r>
    </w:p>
    <w:p>
      <w:bookmarkStart w:id="92" w:name="sec92"/>
      <w:pPr>
        <w:pStyle w:val="Heading3"/>
      </w:pPr>
      <w:r>
        <w:t>09 免疫与病因检查</w:t>
      </w:r>
      <w:bookmarkEnd w:id="92"/>
    </w:p>
    <w:p>
      <w:r>
        <w:t>按SLE/TMA等病因线索选择。申请不证明结果已回。</w:t>
      </w:r>
    </w:p>
    <w:p>
      <w:bookmarkStart w:id="94" w:name="sec94"/>
      <w:pPr>
        <w:pStyle w:val="Heading3"/>
      </w:pPr>
      <w:r>
        <w:t>10 病理或替代性专科证据</w:t>
      </w:r>
      <w:bookmarkEnd w:id="94"/>
    </w:p>
    <w:p>
      <w:r>
        <w:t>活检适应证时间及出血风险由肾内产科协商。按实际适用性替换，不强迫不必要操作。</w:t>
      </w:r>
    </w:p>
    <w:p>
      <w:bookmarkStart w:id="96" w:name="sec96"/>
      <w:pPr>
        <w:pStyle w:val="Heading3"/>
      </w:pPr>
      <w:r>
        <w:t>11 诊断标准</w:t>
      </w:r>
      <w:bookmarkEnd w:id="96"/>
    </w:p>
    <w:p>
      <w:r>
        <w:t>不能将妊娠肌酐不高于普通参考值当正常；不凭单蛋白诊子痫前期。标准不完整时保持待明确，不用模板强行确诊。</w:t>
      </w:r>
    </w:p>
    <w:p>
      <w:bookmarkStart w:id="98" w:name="sec98"/>
      <w:pPr>
        <w:pStyle w:val="Heading3"/>
      </w:pPr>
      <w:r>
        <w:t>12 诊断依据</w:t>
      </w:r>
      <w:bookmarkEnd w:id="98"/>
    </w:p>
    <w:p>
      <w:r>
        <w:t>将本患者关于蛋白定量与尿沉渣，尿量完整记录、以肌酐和实际临床判断，常用eGFR公式不用于妊娠GFR估计及相关病史逐项对应于诊断；列支持、反对及未获得证据。</w:t>
      </w:r>
    </w:p>
    <w:p>
      <w:bookmarkStart w:id="100" w:name="sec100"/>
      <w:pPr>
        <w:pStyle w:val="Heading3"/>
      </w:pPr>
      <w:r>
        <w:t>13 鉴别诊断</w:t>
      </w:r>
      <w:bookmarkEnd w:id="100"/>
    </w:p>
    <w:p>
      <w:r>
        <w:t>子痫前期、HELLP、TMA、感染失血及原肾病。对本例逐项说明支持、反对及下一步，不机械宣称排除。</w:t>
      </w:r>
    </w:p>
    <w:p>
      <w:bookmarkStart w:id="102" w:name="sec102"/>
      <w:pPr>
        <w:pStyle w:val="Heading3"/>
      </w:pPr>
      <w:r>
        <w:t>14 分型与分期</w:t>
      </w:r>
      <w:bookmarkEnd w:id="102"/>
    </w:p>
    <w:p>
      <w:r>
        <w:t>孕周、母体器官损害胎儿与药物风险。无完整变量不补分型、评分或风险百分数。</w:t>
      </w:r>
    </w:p>
    <w:p>
      <w:bookmarkStart w:id="104" w:name="sec104"/>
      <w:pPr>
        <w:pStyle w:val="Heading3"/>
      </w:pPr>
      <w:r>
        <w:t>15 危险分层</w:t>
      </w:r>
      <w:bookmarkEnd w:id="104"/>
    </w:p>
    <w:p>
      <w:r>
        <w:t>AKI高压危象母胎并发症。潜在风险与已经发生的并发症分开。</w:t>
      </w:r>
    </w:p>
    <w:p>
      <w:bookmarkStart w:id="106" w:name="sec106"/>
      <w:pPr>
        <w:pStyle w:val="Heading3"/>
      </w:pPr>
      <w:r>
        <w:t>16 肾功能动态评价</w:t>
      </w:r>
      <w:bookmarkEnd w:id="106"/>
    </w:p>
    <w:p>
      <w:r>
        <w:t>以肌酐和实际临床判断，常用eGFR公式不用于妊娠GFR估计；透析后降低、尿量受利尿影响、跨日基线均说明限制。</w:t>
      </w:r>
    </w:p>
    <w:p>
      <w:bookmarkStart w:id="108" w:name="sec108"/>
      <w:pPr>
        <w:pStyle w:val="Heading3"/>
      </w:pPr>
      <w:r>
        <w:t>17 治疗原则</w:t>
      </w:r>
      <w:bookmarkEnd w:id="108"/>
    </w:p>
    <w:p>
      <w:r>
        <w:t>药物妊娠哺乳适用性逐项核查，重大方案多学科。医师建议、已开处方和实际执行分别表达。</w:t>
      </w:r>
    </w:p>
    <w:p>
      <w:bookmarkStart w:id="110" w:name="sec110"/>
      <w:pPr>
        <w:pStyle w:val="Heading3"/>
      </w:pPr>
      <w:r>
        <w:t>18 肾脏替代或特殊治疗评估</w:t>
      </w:r>
      <w:bookmarkEnd w:id="110"/>
    </w:p>
    <w:p>
      <w:r>
        <w:t>评估当前容量、钾、酸碱及尿毒症等器官危险和治疗目标，由真实团队决定方式及时机；仅肌酐升高不自动触发透析。对已在RRT者核每次执行和残肾；特殊人群由相应团队协作。</w:t>
      </w:r>
    </w:p>
    <w:p>
      <w:bookmarkStart w:id="112" w:name="sec112"/>
      <w:pPr>
        <w:pStyle w:val="Heading3"/>
      </w:pPr>
      <w:r>
        <w:t>19 药物管理</w:t>
      </w:r>
      <w:bookmarkEnd w:id="112"/>
    </w:p>
    <w:p>
      <w:r>
        <w:t>药物妊娠哺乳适用性逐项核查，重大方案多学科；核肾功能适用、感染出血及停复。真实剂量途径频次来自医嘱和执行，不由AI补造。</w:t>
      </w:r>
    </w:p>
    <w:p>
      <w:bookmarkStart w:id="114" w:name="sec114"/>
      <w:pPr>
        <w:pStyle w:val="Heading3"/>
      </w:pPr>
      <w:r>
        <w:t>20 并发症</w:t>
      </w:r>
      <w:bookmarkEnd w:id="114"/>
    </w:p>
    <w:p>
      <w:r>
        <w:t>AKI高压危象母胎并发症。若出现异常转06，记录事件时刻、实际措施及复评。</w:t>
      </w:r>
    </w:p>
    <w:p>
      <w:bookmarkStart w:id="116" w:name="sec116"/>
      <w:pPr>
        <w:pStyle w:val="Heading3"/>
      </w:pPr>
      <w:r>
        <w:t>21 首次病程</w:t>
      </w:r>
      <w:bookmarkEnd w:id="116"/>
    </w:p>
    <w:p>
      <w:pPr>
        <w:keepNext/>
      </w:pPr>
      <w:r>
        <w:t>【真实记录日期及时间】 首次病程</w:t>
      </w:r>
    </w:p>
    <w:p>
      <w:pPr>
        <w:keepNext/>
      </w:pPr>
      <w:r>
        <w:t>```text</w:t>
      </w:r>
    </w:p>
    <w:p>
      <w:pPr>
        <w:keepNext/>
        <w:keepLines/>
        <w:spacing w:after="0" w:line="252" w:lineRule="auto"/>
      </w:pPr>
      <w:r>
        <w:t>病例特点：【本例病史、实查和检查】</w:t>
      </w:r>
    </w:p>
    <w:p>
      <w:pPr>
        <w:keepNext/>
        <w:keepLines/>
        <w:spacing w:after="0" w:line="252" w:lineRule="auto"/>
      </w:pPr>
      <w:r>
        <w:t>初步诊断及依据：【满足本路径标准的真实项目与缺口】</w:t>
      </w:r>
    </w:p>
    <w:p>
      <w:pPr>
        <w:keepNext/>
        <w:keepLines/>
        <w:spacing w:after="0" w:line="252" w:lineRule="auto"/>
      </w:pPr>
      <w:r>
        <w:t>鉴别诊断：【针对本例子痫前期、HELLP、TMA、感染失血及原肾病的支持反对】</w:t>
      </w:r>
    </w:p>
    <w:p>
      <w:pPr>
        <w:keepNext/>
        <w:keepLines/>
        <w:spacing w:after="0" w:line="252" w:lineRule="auto"/>
      </w:pPr>
      <w:r>
        <w:t>风险及计划：【真实医师对AKI高压危象母胎并发症的评估及安排】。</w:t>
      </w:r>
    </w:p>
    <w:p>
      <w:r>
        <w:t>```</w:t>
      </w:r>
    </w:p>
    <w:p>
      <w:bookmarkStart w:id="118" w:name="sec118"/>
      <w:pPr>
        <w:pStyle w:val="Heading3"/>
      </w:pPr>
      <w:r>
        <w:t>22 日常病程</w:t>
      </w:r>
      <w:bookmarkEnd w:id="118"/>
    </w:p>
    <w:p>
      <w:pPr>
        <w:keepNext/>
      </w:pPr>
      <w:r>
        <w:t>【真实记录日期及时间】 日常病程</w:t>
      </w:r>
    </w:p>
    <w:p>
      <w:pPr>
        <w:keepNext/>
      </w:pPr>
      <w:r>
        <w:t>```text</w:t>
      </w:r>
    </w:p>
    <w:p>
      <w:pPr>
        <w:keepNext/>
        <w:keepLines/>
        <w:spacing w:after="0" w:line="252" w:lineRule="auto"/>
      </w:pPr>
      <w:r>
        <w:t>患者今日【真实变化】，查体【与真实血压容量和产科相关评估由对应团队相关的当次实查】，检查【实际日期及以肌酐和实际临床判断，常用eGFR公式不用于妊娠GFR估计的结果】。目前【诊断确定度和真实阶段】，已实施【治疗执行与反应】，后续【围绕产后肾功能血压蛋白与药物哺乳随访的真实计划】。</w:t>
      </w:r>
    </w:p>
    <w:p>
      <w:r>
        <w:t>```</w:t>
      </w:r>
    </w:p>
    <w:p>
      <w:bookmarkStart w:id="120" w:name="sec120"/>
      <w:pPr>
        <w:pStyle w:val="Heading3"/>
      </w:pPr>
      <w:r>
        <w:t>23 主治医师查房</w:t>
      </w:r>
      <w:bookmarkEnd w:id="120"/>
    </w:p>
    <w:p>
      <w:pPr>
        <w:keepNext/>
      </w:pPr>
      <w:r>
        <w:t>【真实记录日期及时间】 主治医师查房</w:t>
      </w:r>
    </w:p>
    <w:p>
      <w:pPr>
        <w:keepNext/>
      </w:pPr>
      <w:r>
        <w:t>```text</w:t>
      </w:r>
    </w:p>
    <w:p>
      <w:pPr>
        <w:keepNext/>
        <w:keepLines/>
        <w:spacing w:after="0" w:line="252" w:lineRule="auto"/>
      </w:pPr>
      <w:r>
        <w:t>今日随【真实姓名】主治医师查房，患者【真实症状】，实查及检查【当次资料】。主治医师分析【当日以肌酐和实际临床判断，常用eGFR公式不用于妊娠GFR估计、尿量容量及实际治疗执行的真实意见】，后续【近期监测】。</w:t>
      </w:r>
    </w:p>
    <w:p>
      <w:r>
        <w:t>```</w:t>
      </w:r>
    </w:p>
    <w:p>
      <w:bookmarkStart w:id="122" w:name="sec122"/>
      <w:pPr>
        <w:pStyle w:val="Heading3"/>
      </w:pPr>
      <w:r>
        <w:t>24 副主任医师查房</w:t>
      </w:r>
      <w:bookmarkEnd w:id="122"/>
    </w:p>
    <w:p>
      <w:pPr>
        <w:keepNext/>
      </w:pPr>
      <w:r>
        <w:t>【真实记录日期及时间】 副主任医师查房</w:t>
      </w:r>
    </w:p>
    <w:p>
      <w:pPr>
        <w:keepNext/>
      </w:pPr>
      <w:r>
        <w:t>```text</w:t>
      </w:r>
    </w:p>
    <w:p>
      <w:pPr>
        <w:keepNext/>
        <w:keepLines/>
        <w:spacing w:after="0" w:line="252" w:lineRule="auto"/>
      </w:pPr>
      <w:r>
        <w:t>今日随【真实姓名】副主任医师查房，患者【真实变化】，检查及实查【资料】。副主任医师分析【对不能将妊娠肌酐不高于普通参考值当正常；不凭单蛋白诊子痫前期与子痫前期、HELLP、TMA、感染失血及原肾病的真实复核，及治疗优化意见】，下一步【真实计划】。</w:t>
      </w:r>
    </w:p>
    <w:p>
      <w:r>
        <w:t>```</w:t>
      </w:r>
    </w:p>
    <w:p>
      <w:bookmarkStart w:id="124" w:name="sec124"/>
      <w:pPr>
        <w:pStyle w:val="Heading3"/>
      </w:pPr>
      <w:r>
        <w:t>25 主任医师查房</w:t>
      </w:r>
      <w:bookmarkEnd w:id="124"/>
    </w:p>
    <w:p>
      <w:pPr>
        <w:keepNext/>
      </w:pPr>
      <w:r>
        <w:t>【真实记录日期及时间】 主任医师查房</w:t>
      </w:r>
    </w:p>
    <w:p>
      <w:pPr>
        <w:keepNext/>
      </w:pPr>
      <w:r>
        <w:t>```text</w:t>
      </w:r>
    </w:p>
    <w:p>
      <w:pPr>
        <w:keepNext/>
        <w:keepLines/>
        <w:spacing w:after="0" w:line="252" w:lineRule="auto"/>
      </w:pPr>
      <w:r>
        <w:t>今日随【真实姓名】主任医师查房，患者【真实病情】，实查和检查【资料】。主任医师分析【本例妊娠合并肾病及妊娠AKI的复杂证据、药物妊娠哺乳适用性逐项核查，重大方案多学科的重大权衡及AKI高压危象母胎并发症与长期预后】，后续【真实决策】。</w:t>
      </w:r>
    </w:p>
    <w:p>
      <w:r>
        <w:t>```</w:t>
      </w:r>
    </w:p>
    <w:p>
      <w:bookmarkStart w:id="126" w:name="sec126"/>
      <w:pPr>
        <w:pStyle w:val="Heading3"/>
      </w:pPr>
      <w:r>
        <w:t>26 特殊操作前后病程</w:t>
      </w:r>
      <w:bookmarkEnd w:id="126"/>
    </w:p>
    <w:p>
      <w:pPr>
        <w:keepNext/>
      </w:pPr>
      <w:r>
        <w:t>【真实记录日期及时间】 特殊操作前后病程</w:t>
      </w:r>
    </w:p>
    <w:p>
      <w:pPr>
        <w:keepNext/>
      </w:pPr>
      <w:r>
        <w:t>```text</w:t>
      </w:r>
    </w:p>
    <w:p>
      <w:pPr>
        <w:keepNext/>
        <w:keepLines/>
        <w:spacing w:after="0" w:line="252" w:lineRule="auto"/>
      </w:pPr>
      <w:r>
        <w:t>本次【真实操作或RRT事件】目前【拟定、已开始、完成或中断状态】，依据【实际评估】，操作执行【原始记录】，当前【实测反应】，检查【已回资料】，后续【医师计划】。未实际发生操作时仅记录评估，不生成术后事实。</w:t>
      </w:r>
    </w:p>
    <w:p>
      <w:r>
        <w:t>```</w:t>
      </w:r>
    </w:p>
    <w:p>
      <w:bookmarkStart w:id="128" w:name="sec128"/>
      <w:pPr>
        <w:pStyle w:val="Heading3"/>
      </w:pPr>
      <w:r>
        <w:t>27 治疗调整病程</w:t>
      </w:r>
      <w:bookmarkEnd w:id="128"/>
    </w:p>
    <w:p>
      <w:pPr>
        <w:keepNext/>
      </w:pPr>
      <w:r>
        <w:t>【真实记录日期及时间】 治疗调整病程</w:t>
      </w:r>
    </w:p>
    <w:p>
      <w:pPr>
        <w:keepNext/>
      </w:pPr>
      <w:r>
        <w:t>```text</w:t>
      </w:r>
    </w:p>
    <w:p>
      <w:pPr>
        <w:keepNext/>
        <w:keepLines/>
        <w:spacing w:after="0" w:line="252" w:lineRule="auto"/>
      </w:pPr>
      <w:r>
        <w:t>针对【实际问题和变化】，医师决定【有关药物妊娠哺乳适用性逐项核查，重大方案多学科的真实调整】，医嘱【状态】，实际执行【来源】，反应及停复【事实】，后续【真实复查安排】。</w:t>
      </w:r>
    </w:p>
    <w:p>
      <w:r>
        <w:t>```</w:t>
      </w:r>
    </w:p>
    <w:p>
      <w:bookmarkStart w:id="130" w:name="sec130"/>
      <w:pPr>
        <w:pStyle w:val="Heading3"/>
      </w:pPr>
      <w:r>
        <w:t>28 异常病程</w:t>
      </w:r>
      <w:bookmarkEnd w:id="130"/>
    </w:p>
    <w:p>
      <w:pPr>
        <w:keepNext/>
      </w:pPr>
      <w:r>
        <w:t>【真实记录日期及时间】 异常病程</w:t>
      </w:r>
    </w:p>
    <w:p>
      <w:pPr>
        <w:keepNext/>
      </w:pPr>
      <w:r>
        <w:t>```text</w:t>
      </w:r>
    </w:p>
    <w:p>
      <w:pPr>
        <w:keepNext/>
        <w:keepLines/>
        <w:spacing w:after="0" w:line="252" w:lineRule="auto"/>
      </w:pPr>
      <w:r>
        <w:t>于【真实时点】发生【症状或异常】，当时【生命体征和关键检查】，考虑【与AKI高压危象母胎并发症相关的判断及确定度】，已采取【实际措施时间】，复评【结果】，后续【现场团队安排】。</w:t>
      </w:r>
    </w:p>
    <w:p>
      <w:r>
        <w:t>```</w:t>
      </w:r>
    </w:p>
    <w:p>
      <w:bookmarkStart w:id="132" w:name="sec132"/>
      <w:pPr>
        <w:pStyle w:val="Heading3"/>
      </w:pPr>
      <w:r>
        <w:t>29 出院记录</w:t>
      </w:r>
      <w:bookmarkEnd w:id="132"/>
    </w:p>
    <w:p>
      <w:pPr>
        <w:keepNext/>
      </w:pPr>
      <w:r>
        <w:t>【真实记录日期及时间】 出院记录</w:t>
      </w:r>
    </w:p>
    <w:p>
      <w:pPr>
        <w:keepNext/>
      </w:pPr>
      <w:r>
        <w:t>```text</w:t>
      </w:r>
    </w:p>
    <w:p>
      <w:pPr>
        <w:keepNext/>
        <w:keepLines/>
        <w:spacing w:after="0" w:line="252" w:lineRule="auto"/>
      </w:pPr>
      <w:r>
        <w:t>入院情况：【真实内容】</w:t>
      </w:r>
    </w:p>
    <w:p>
      <w:pPr>
        <w:keepNext/>
        <w:keepLines/>
        <w:spacing w:after="0" w:line="252" w:lineRule="auto"/>
      </w:pPr>
      <w:r>
        <w:t>诊疗经过：【妊娠合并肾病及妊娠AKI证据演变及每次实际治疗】</w:t>
      </w:r>
    </w:p>
    <w:p>
      <w:pPr>
        <w:keepNext/>
        <w:keepLines/>
        <w:spacing w:after="0" w:line="252" w:lineRule="auto"/>
      </w:pPr>
      <w:r>
        <w:t>出院诊断：【确定度和最终依据】</w:t>
      </w:r>
    </w:p>
    <w:p>
      <w:pPr>
        <w:keepNext/>
        <w:keepLines/>
        <w:spacing w:after="0" w:line="252" w:lineRule="auto"/>
      </w:pPr>
      <w:r>
        <w:t>出院情况：【实查肾功能、容量和遗留问题】</w:t>
      </w:r>
    </w:p>
    <w:p>
      <w:pPr>
        <w:keepNext/>
        <w:keepLines/>
        <w:spacing w:after="0" w:line="252" w:lineRule="auto"/>
      </w:pPr>
      <w:r>
        <w:t>出院计划：【真实带药、治疗与产后肾功能血压蛋白与药物哺乳随访】。</w:t>
      </w:r>
    </w:p>
    <w:p>
      <w:r>
        <w:t>```</w:t>
      </w:r>
    </w:p>
    <w:p>
      <w:bookmarkStart w:id="134" w:name="sec134"/>
      <w:pPr>
        <w:pStyle w:val="Heading3"/>
      </w:pPr>
      <w:r>
        <w:t>30 出院医嘱</w:t>
      </w:r>
      <w:bookmarkEnd w:id="134"/>
    </w:p>
    <w:p>
      <w:pPr>
        <w:keepNext/>
      </w:pPr>
      <w:r>
        <w:t>【真实记录日期及时间】 出院医嘱</w:t>
      </w:r>
    </w:p>
    <w:p>
      <w:pPr>
        <w:keepNext/>
      </w:pPr>
      <w:r>
        <w:t>```text</w:t>
      </w:r>
    </w:p>
    <w:p>
      <w:pPr>
        <w:keepNext/>
        <w:keepLines/>
        <w:spacing w:after="0" w:line="252" w:lineRule="auto"/>
      </w:pPr>
      <w:r>
        <w:t>药物及停复：【真实审核处方和条件】</w:t>
      </w:r>
    </w:p>
    <w:p>
      <w:pPr>
        <w:keepNext/>
        <w:keepLines/>
        <w:spacing w:after="0" w:line="252" w:lineRule="auto"/>
      </w:pPr>
      <w:r>
        <w:t>治疗方式和通路：【适用且已确认安排】</w:t>
      </w:r>
    </w:p>
    <w:p>
      <w:pPr>
        <w:keepNext/>
        <w:keepLines/>
        <w:spacing w:after="0" w:line="252" w:lineRule="auto"/>
      </w:pPr>
      <w:r>
        <w:t>复查及待回报：【围绕产后肾功能血压蛋白与药物哺乳随访的实际日期项目责任】</w:t>
      </w:r>
    </w:p>
    <w:p>
      <w:pPr>
        <w:keepNext/>
        <w:keepLines/>
        <w:spacing w:after="0" w:line="252" w:lineRule="auto"/>
      </w:pPr>
      <w:r>
        <w:t>警示症状：【与AKI高压危象母胎并发症相关且已真实交代的内容】。</w:t>
      </w:r>
    </w:p>
    <w:p>
      <w:r>
        <w:t>```</w:t>
      </w:r>
    </w:p>
    <w:p>
      <w:bookmarkStart w:id="136" w:name="sec136"/>
      <w:pPr>
        <w:pStyle w:val="Heading3"/>
      </w:pPr>
      <w:r>
        <w:t>31 长期随访</w:t>
      </w:r>
      <w:bookmarkEnd w:id="136"/>
    </w:p>
    <w:p>
      <w:r>
        <w:t>产后肾功能血压蛋白与药物哺乳随访。记录真实预约和实际完成，不把计划写完成。</w:t>
      </w:r>
    </w:p>
    <w:p>
      <w:bookmarkStart w:id="138" w:name="sec138"/>
      <w:pPr>
        <w:pStyle w:val="Heading3"/>
      </w:pPr>
      <w:r>
        <w:t>32 最终质控</w:t>
      </w:r>
      <w:bookmarkEnd w:id="138"/>
    </w:p>
    <w:p>
      <w:r>
        <w:t>不能将妊娠肌酐不高于普通参考值当正常；不凭单蛋白诊子痫前期；核每次诊断、检查可知时间、实际执行和活检适应证时间及出血风险由肾内产科协商的证据边界，按10终审。</w:t>
      </w:r>
    </w:p>
    <w:p>
      <w:bookmarkStart w:id="140" w:name="sec140"/>
      <w:pPr>
        <w:pStyle w:val="Heading3"/>
      </w:pPr>
      <w:r>
        <w:t>33 参考指南与版本</w:t>
      </w:r>
      <w:bookmarkEnd w:id="140"/>
    </w:p>
    <w:p>
      <w:r>
        <w:t>采用文末R16、R17、R18、R05、R09的相应正式版本和适用人群。主路径是文书组织，不将所有提示宣称为指南分级推荐；具体推荐及药物使用需实际查原文和本院规范。</w:t>
      </w:r>
    </w:p>
    <w:p>
      <w:bookmarkStart w:id="142" w:name="sec142"/>
      <w:pPr>
        <w:pStyle w:val="Heading1"/>
      </w:pPr>
      <w:r>
        <w:t>儿童老年肿瘤及罕见复杂肾病 的33项路径</w:t>
      </w:r>
      <w:bookmarkEnd w:id="142"/>
    </w:p>
    <w:p>
      <w:bookmarkStart w:id="143" w:name="sec143"/>
      <w:pPr>
        <w:pStyle w:val="Heading3"/>
      </w:pPr>
      <w:r>
        <w:t>01 疾病定义</w:t>
      </w:r>
      <w:bookmarkEnd w:id="143"/>
    </w:p>
    <w:p>
      <w:r>
        <w:t>不同人群的估算公式、体重、脆弱性和病因差异须保留</w:t>
      </w:r>
    </w:p>
    <w:p>
      <w:bookmarkStart w:id="145" w:name="sec145"/>
      <w:pPr>
        <w:pStyle w:val="Heading3"/>
      </w:pPr>
      <w:r>
        <w:t>02 病因与机制</w:t>
      </w:r>
      <w:bookmarkEnd w:id="145"/>
    </w:p>
    <w:p>
      <w:r>
        <w:t>儿童发育遗传因素、老年肌少衰弱、肿瘤或血液病及治疗毒性可形成不同机制，不能把特殊人群当统一病因。</w:t>
      </w:r>
    </w:p>
    <w:p>
      <w:bookmarkStart w:id="147" w:name="sec147"/>
      <w:pPr>
        <w:pStyle w:val="Heading3"/>
      </w:pPr>
      <w:r>
        <w:t>03 临床表现</w:t>
      </w:r>
      <w:bookmarkEnd w:id="147"/>
    </w:p>
    <w:p>
      <w:r>
        <w:t>表现取决于年龄、基础病和治疗暴露，可涉及生长营养、器官毒性、电解质及肾功能异常。这些是知识范围，不能自动写成患者已有事实。</w:t>
      </w:r>
    </w:p>
    <w:p>
      <w:bookmarkStart w:id="149" w:name="sec149"/>
      <w:pPr>
        <w:pStyle w:val="Heading3"/>
      </w:pPr>
      <w:r>
        <w:t>04 病史采集</w:t>
      </w:r>
      <w:bookmarkEnd w:id="149"/>
    </w:p>
    <w:p>
      <w:r>
        <w:t>实际年龄体重生长、衰弱、肿瘤或血液病治疗暴露及家系；核发生时间、既往日期、真实治疗与反应及信息来源。</w:t>
      </w:r>
    </w:p>
    <w:p>
      <w:bookmarkStart w:id="151" w:name="sec151"/>
      <w:pPr>
        <w:pStyle w:val="Heading3"/>
      </w:pPr>
      <w:r>
        <w:t>05 专科查体</w:t>
      </w:r>
      <w:bookmarkEnd w:id="151"/>
    </w:p>
    <w:p>
      <w:r>
        <w:t>生长营养容量、器官毒性和系统病体征。只写当次实际实施项目。</w:t>
      </w:r>
    </w:p>
    <w:p>
      <w:bookmarkStart w:id="153" w:name="sec153"/>
      <w:pPr>
        <w:pStyle w:val="Heading3"/>
      </w:pPr>
      <w:r>
        <w:t>06 尿液检验</w:t>
      </w:r>
      <w:bookmarkEnd w:id="153"/>
    </w:p>
    <w:p>
      <w:r>
        <w:t>儿童定量适用性、血尿蛋白及小管线索。标本和统计窗口注明，未测不写阴性。</w:t>
      </w:r>
    </w:p>
    <w:p>
      <w:bookmarkStart w:id="155" w:name="sec155"/>
      <w:pPr>
        <w:pStyle w:val="Heading3"/>
      </w:pPr>
      <w:r>
        <w:t>07 肾功能和电解质</w:t>
      </w:r>
      <w:bookmarkEnd w:id="155"/>
    </w:p>
    <w:p>
      <w:r>
        <w:t>儿童公式与身高等变量齐全才用；肌少症影响肌酐解释。注意采样与RRT时序，不混单位和公式。</w:t>
      </w:r>
    </w:p>
    <w:p>
      <w:bookmarkStart w:id="157" w:name="sec157"/>
      <w:pPr>
        <w:pStyle w:val="Heading3"/>
      </w:pPr>
      <w:r>
        <w:t>08 影像</w:t>
      </w:r>
      <w:bookmarkEnd w:id="157"/>
    </w:p>
    <w:p>
      <w:r>
        <w:t>发育结构、肿瘤梗阻或药物相关检查按问题。报告原文与临床分析分开。</w:t>
      </w:r>
    </w:p>
    <w:p>
      <w:bookmarkStart w:id="159" w:name="sec159"/>
      <w:pPr>
        <w:pStyle w:val="Heading3"/>
      </w:pPr>
      <w:r>
        <w:t>09 免疫与病因检查</w:t>
      </w:r>
      <w:bookmarkEnd w:id="159"/>
    </w:p>
    <w:p>
      <w:r>
        <w:t>溶血单克隆免疫球蛋白、感染遗传检查按线索。申请不证明结果已回。</w:t>
      </w:r>
    </w:p>
    <w:p>
      <w:bookmarkStart w:id="161" w:name="sec161"/>
      <w:pPr>
        <w:pStyle w:val="Heading3"/>
      </w:pPr>
      <w:r>
        <w:t>10 病理或替代性专科证据</w:t>
      </w:r>
      <w:bookmarkEnd w:id="161"/>
    </w:p>
    <w:p>
      <w:r>
        <w:t>活检和基因结果必须真实；罕见病不能靠模板赋型。按实际适用性替换，不强迫不必要操作。</w:t>
      </w:r>
    </w:p>
    <w:p>
      <w:bookmarkStart w:id="163" w:name="sec163"/>
      <w:pPr>
        <w:pStyle w:val="Heading3"/>
      </w:pPr>
      <w:r>
        <w:t>11 诊断标准</w:t>
      </w:r>
      <w:bookmarkEnd w:id="163"/>
    </w:p>
    <w:p>
      <w:r>
        <w:t>成人阈值和剂量不直接套儿童；肿瘤用药先后不等于因果。标准不完整时保持待明确，不用模板强行确诊。</w:t>
      </w:r>
    </w:p>
    <w:p>
      <w:bookmarkStart w:id="165" w:name="sec165"/>
      <w:pPr>
        <w:pStyle w:val="Heading3"/>
      </w:pPr>
      <w:r>
        <w:t>12 诊断依据</w:t>
      </w:r>
      <w:bookmarkEnd w:id="165"/>
    </w:p>
    <w:p>
      <w:r>
        <w:t>将本患者关于儿童定量适用性、血尿蛋白及小管线索、儿童公式与身高等变量齐全才用；肌少症影响肌酐解释及相关病史逐项对应于诊断；列支持、反对及未获得证据。</w:t>
      </w:r>
    </w:p>
    <w:p>
      <w:bookmarkStart w:id="167" w:name="sec167"/>
      <w:pPr>
        <w:pStyle w:val="Heading3"/>
      </w:pPr>
      <w:r>
        <w:t>13 鉴别诊断</w:t>
      </w:r>
      <w:bookmarkEnd w:id="167"/>
    </w:p>
    <w:p>
      <w:r>
        <w:t>肿瘤溶解TMA、单克隆相关病、药物间质损伤和遗传病。对本例逐项说明支持、反对及下一步，不机械宣称排除。</w:t>
      </w:r>
    </w:p>
    <w:p>
      <w:bookmarkStart w:id="169" w:name="sec169"/>
      <w:pPr>
        <w:pStyle w:val="Heading3"/>
      </w:pPr>
      <w:r>
        <w:t>14 分型与分期</w:t>
      </w:r>
      <w:bookmarkEnd w:id="169"/>
    </w:p>
    <w:p>
      <w:r>
        <w:t>儿童生长、老年衰弱、肿瘤负担与治疗目标。无完整变量不补分型、评分或风险百分数。</w:t>
      </w:r>
    </w:p>
    <w:p>
      <w:bookmarkStart w:id="171" w:name="sec171"/>
      <w:pPr>
        <w:pStyle w:val="Heading3"/>
      </w:pPr>
      <w:r>
        <w:t>15 危险分层</w:t>
      </w:r>
      <w:bookmarkEnd w:id="171"/>
    </w:p>
    <w:p>
      <w:r>
        <w:t>肾衰电解质紊乱、感染毒性与功能衰退。潜在风险与已经发生的并发症分开。</w:t>
      </w:r>
    </w:p>
    <w:p>
      <w:bookmarkStart w:id="173" w:name="sec173"/>
      <w:pPr>
        <w:pStyle w:val="Heading3"/>
      </w:pPr>
      <w:r>
        <w:t>16 肾功能动态评价</w:t>
      </w:r>
      <w:bookmarkEnd w:id="173"/>
    </w:p>
    <w:p>
      <w:r>
        <w:t>儿童公式与身高等变量齐全才用；肌少症影响肌酐解释；透析后降低、尿量受利尿影响、跨日基线均说明限制。</w:t>
      </w:r>
    </w:p>
    <w:p>
      <w:bookmarkStart w:id="175" w:name="sec175"/>
      <w:pPr>
        <w:pStyle w:val="Heading3"/>
      </w:pPr>
      <w:r>
        <w:t>17 治疗原则</w:t>
      </w:r>
      <w:bookmarkEnd w:id="175"/>
    </w:p>
    <w:p>
      <w:r>
        <w:t>儿科血液肿瘤及相关团队明确分工，按器官功能核药物。医师建议、已开处方和实际执行分别表达。</w:t>
      </w:r>
    </w:p>
    <w:p>
      <w:bookmarkStart w:id="177" w:name="sec177"/>
      <w:pPr>
        <w:pStyle w:val="Heading3"/>
      </w:pPr>
      <w:r>
        <w:t>18 肾脏替代或特殊治疗评估</w:t>
      </w:r>
      <w:bookmarkEnd w:id="177"/>
    </w:p>
    <w:p>
      <w:r>
        <w:t>评估当前容量、钾、酸碱及尿毒症等器官危险和治疗目标，由真实团队决定方式及时机；仅肌酐升高不自动触发透析。对已在RRT者核每次执行和残肾；特殊人群由相应团队协作。</w:t>
      </w:r>
    </w:p>
    <w:p>
      <w:bookmarkStart w:id="179" w:name="sec179"/>
      <w:pPr>
        <w:pStyle w:val="Heading3"/>
      </w:pPr>
      <w:r>
        <w:t>19 药物管理</w:t>
      </w:r>
      <w:bookmarkEnd w:id="179"/>
    </w:p>
    <w:p>
      <w:r>
        <w:t>儿科血液肿瘤及相关团队明确分工，按器官功能核药物；核肾功能适用、感染出血及停复。真实剂量途径频次来自医嘱和执行，不由AI补造。</w:t>
      </w:r>
    </w:p>
    <w:p>
      <w:bookmarkStart w:id="181" w:name="sec181"/>
      <w:pPr>
        <w:pStyle w:val="Heading3"/>
      </w:pPr>
      <w:r>
        <w:t>20 并发症</w:t>
      </w:r>
      <w:bookmarkEnd w:id="181"/>
    </w:p>
    <w:p>
      <w:r>
        <w:t>肾衰电解质紊乱、感染毒性与功能衰退。若出现异常转06，记录事件时刻、实际措施及复评。</w:t>
      </w:r>
    </w:p>
    <w:p>
      <w:bookmarkStart w:id="183" w:name="sec183"/>
      <w:pPr>
        <w:pStyle w:val="Heading3"/>
      </w:pPr>
      <w:r>
        <w:t>21 首次病程</w:t>
      </w:r>
      <w:bookmarkEnd w:id="183"/>
    </w:p>
    <w:p>
      <w:pPr>
        <w:keepNext/>
      </w:pPr>
      <w:r>
        <w:t>【真实记录日期及时间】 首次病程</w:t>
      </w:r>
    </w:p>
    <w:p>
      <w:pPr>
        <w:keepNext/>
      </w:pPr>
      <w:r>
        <w:t>```text</w:t>
      </w:r>
    </w:p>
    <w:p>
      <w:pPr>
        <w:keepNext/>
        <w:keepLines/>
        <w:spacing w:after="0" w:line="252" w:lineRule="auto"/>
      </w:pPr>
      <w:r>
        <w:t>病例特点：【本例病史、实查和检查】</w:t>
      </w:r>
    </w:p>
    <w:p>
      <w:pPr>
        <w:keepNext/>
        <w:keepLines/>
        <w:spacing w:after="0" w:line="252" w:lineRule="auto"/>
      </w:pPr>
      <w:r>
        <w:t>初步诊断及依据：【满足本路径标准的真实项目与缺口】</w:t>
      </w:r>
    </w:p>
    <w:p>
      <w:pPr>
        <w:keepNext/>
        <w:keepLines/>
        <w:spacing w:after="0" w:line="252" w:lineRule="auto"/>
      </w:pPr>
      <w:r>
        <w:t>鉴别诊断：【针对本例肿瘤溶解TMA、单克隆相关病、药物间质损伤和遗传病的支持反对】</w:t>
      </w:r>
    </w:p>
    <w:p>
      <w:pPr>
        <w:keepNext/>
        <w:keepLines/>
        <w:spacing w:after="0" w:line="252" w:lineRule="auto"/>
      </w:pPr>
      <w:r>
        <w:t>风险及计划：【真实医师对肾衰电解质紊乱、感染毒性与功能衰退的评估及安排】。</w:t>
      </w:r>
    </w:p>
    <w:p>
      <w:r>
        <w:t>```</w:t>
      </w:r>
    </w:p>
    <w:p>
      <w:bookmarkStart w:id="185" w:name="sec185"/>
      <w:pPr>
        <w:pStyle w:val="Heading3"/>
      </w:pPr>
      <w:r>
        <w:t>22 日常病程</w:t>
      </w:r>
      <w:bookmarkEnd w:id="185"/>
    </w:p>
    <w:p>
      <w:pPr>
        <w:keepNext/>
      </w:pPr>
      <w:r>
        <w:t>【真实记录日期及时间】 日常病程</w:t>
      </w:r>
    </w:p>
    <w:p>
      <w:pPr>
        <w:keepNext/>
      </w:pPr>
      <w:r>
        <w:t>```text</w:t>
      </w:r>
    </w:p>
    <w:p>
      <w:pPr>
        <w:keepNext/>
        <w:keepLines/>
        <w:spacing w:after="0" w:line="252" w:lineRule="auto"/>
      </w:pPr>
      <w:r>
        <w:t>患者今日【真实变化】，查体【与生长营养容量、器官毒性和系统病体征相关的当次实查】，检查【实际日期及儿童公式与身高等变量齐全才用；肌少症影响肌酐解释的结果】。目前【诊断确定度和真实阶段】，已实施【治疗执行与反应】，后续【围绕真实跨科交接、功能营养、遗传咨询和肾功能结局的真实计划】。</w:t>
      </w:r>
    </w:p>
    <w:p>
      <w:r>
        <w:t>```</w:t>
      </w:r>
    </w:p>
    <w:p>
      <w:bookmarkStart w:id="187" w:name="sec187"/>
      <w:pPr>
        <w:pStyle w:val="Heading3"/>
      </w:pPr>
      <w:r>
        <w:t>23 主治医师查房</w:t>
      </w:r>
      <w:bookmarkEnd w:id="187"/>
    </w:p>
    <w:p>
      <w:pPr>
        <w:keepNext/>
      </w:pPr>
      <w:r>
        <w:t>【真实记录日期及时间】 主治医师查房</w:t>
      </w:r>
    </w:p>
    <w:p>
      <w:pPr>
        <w:keepNext/>
      </w:pPr>
      <w:r>
        <w:t>```text</w:t>
      </w:r>
    </w:p>
    <w:p>
      <w:pPr>
        <w:keepNext/>
        <w:keepLines/>
        <w:spacing w:after="0" w:line="252" w:lineRule="auto"/>
      </w:pPr>
      <w:r>
        <w:t>今日随【真实姓名】主治医师查房，患者【真实症状】，实查及检查【当次资料】。主治医师分析【当日儿童公式与身高等变量齐全才用；肌少症影响肌酐解释、尿量容量及实际治疗执行的真实意见】，后续【近期监测】。</w:t>
      </w:r>
    </w:p>
    <w:p>
      <w:r>
        <w:t>```</w:t>
      </w:r>
    </w:p>
    <w:p>
      <w:bookmarkStart w:id="189" w:name="sec189"/>
      <w:pPr>
        <w:pStyle w:val="Heading3"/>
      </w:pPr>
      <w:r>
        <w:t>24 副主任医师查房</w:t>
      </w:r>
      <w:bookmarkEnd w:id="189"/>
    </w:p>
    <w:p>
      <w:pPr>
        <w:keepNext/>
      </w:pPr>
      <w:r>
        <w:t>【真实记录日期及时间】 副主任医师查房</w:t>
      </w:r>
    </w:p>
    <w:p>
      <w:pPr>
        <w:keepNext/>
      </w:pPr>
      <w:r>
        <w:t>```text</w:t>
      </w:r>
    </w:p>
    <w:p>
      <w:pPr>
        <w:keepNext/>
        <w:keepLines/>
        <w:spacing w:after="0" w:line="252" w:lineRule="auto"/>
      </w:pPr>
      <w:r>
        <w:t>今日随【真实姓名】副主任医师查房，患者【真实变化】，检查及实查【资料】。副主任医师分析【对成人阈值和剂量不直接套儿童；肿瘤用药先后不等于因果与肿瘤溶解TMA、单克隆相关病、药物间质损伤和遗传病的真实复核，及治疗优化意见】，下一步【真实计划】。</w:t>
      </w:r>
    </w:p>
    <w:p>
      <w:r>
        <w:t>```</w:t>
      </w:r>
    </w:p>
    <w:p>
      <w:bookmarkStart w:id="191" w:name="sec191"/>
      <w:pPr>
        <w:pStyle w:val="Heading3"/>
      </w:pPr>
      <w:r>
        <w:t>25 主任医师查房</w:t>
      </w:r>
      <w:bookmarkEnd w:id="191"/>
    </w:p>
    <w:p>
      <w:pPr>
        <w:keepNext/>
      </w:pPr>
      <w:r>
        <w:t>【真实记录日期及时间】 主任医师查房</w:t>
      </w:r>
    </w:p>
    <w:p>
      <w:pPr>
        <w:keepNext/>
      </w:pPr>
      <w:r>
        <w:t>```text</w:t>
      </w:r>
    </w:p>
    <w:p>
      <w:pPr>
        <w:keepNext/>
        <w:keepLines/>
        <w:spacing w:after="0" w:line="252" w:lineRule="auto"/>
      </w:pPr>
      <w:r>
        <w:t>今日随【真实姓名】主任医师查房，患者【真实病情】，实查和检查【资料】。主任医师分析【本例儿童老年肿瘤及罕见复杂肾病的复杂证据、儿科血液肿瘤及相关团队明确分工，按器官功能核药物的重大权衡及肾衰电解质紊乱、感染毒性与功能衰退与长期预后】，后续【真实决策】。</w:t>
      </w:r>
    </w:p>
    <w:p>
      <w:r>
        <w:t>```</w:t>
      </w:r>
    </w:p>
    <w:p>
      <w:bookmarkStart w:id="193" w:name="sec193"/>
      <w:pPr>
        <w:pStyle w:val="Heading3"/>
      </w:pPr>
      <w:r>
        <w:t>26 特殊操作前后病程</w:t>
      </w:r>
      <w:bookmarkEnd w:id="193"/>
    </w:p>
    <w:p>
      <w:pPr>
        <w:keepNext/>
      </w:pPr>
      <w:r>
        <w:t>【真实记录日期及时间】 特殊操作前后病程</w:t>
      </w:r>
    </w:p>
    <w:p>
      <w:pPr>
        <w:keepNext/>
      </w:pPr>
      <w:r>
        <w:t>```text</w:t>
      </w:r>
    </w:p>
    <w:p>
      <w:pPr>
        <w:keepNext/>
        <w:keepLines/>
        <w:spacing w:after="0" w:line="252" w:lineRule="auto"/>
      </w:pPr>
      <w:r>
        <w:t>本次【真实操作或RRT事件】目前【拟定、已开始、完成或中断状态】，依据【实际评估】，操作执行【原始记录】，当前【实测反应】，检查【已回资料】，后续【医师计划】。未实际发生操作时仅记录评估，不生成术后事实。</w:t>
      </w:r>
    </w:p>
    <w:p>
      <w:r>
        <w:t>```</w:t>
      </w:r>
    </w:p>
    <w:p>
      <w:bookmarkStart w:id="195" w:name="sec195"/>
      <w:pPr>
        <w:pStyle w:val="Heading3"/>
      </w:pPr>
      <w:r>
        <w:t>27 治疗调整病程</w:t>
      </w:r>
      <w:bookmarkEnd w:id="195"/>
    </w:p>
    <w:p>
      <w:pPr>
        <w:keepNext/>
      </w:pPr>
      <w:r>
        <w:t>【真实记录日期及时间】 治疗调整病程</w:t>
      </w:r>
    </w:p>
    <w:p>
      <w:pPr>
        <w:keepNext/>
      </w:pPr>
      <w:r>
        <w:t>```text</w:t>
      </w:r>
    </w:p>
    <w:p>
      <w:pPr>
        <w:keepNext/>
        <w:keepLines/>
        <w:spacing w:after="0" w:line="252" w:lineRule="auto"/>
      </w:pPr>
      <w:r>
        <w:t>针对【实际问题和变化】，医师决定【有关儿科血液肿瘤及相关团队明确分工，按器官功能核药物的真实调整】，医嘱【状态】，实际执行【来源】，反应及停复【事实】，后续【真实复查安排】。</w:t>
      </w:r>
    </w:p>
    <w:p>
      <w:r>
        <w:t>```</w:t>
      </w:r>
    </w:p>
    <w:p>
      <w:bookmarkStart w:id="197" w:name="sec197"/>
      <w:pPr>
        <w:pStyle w:val="Heading3"/>
      </w:pPr>
      <w:r>
        <w:t>28 异常病程</w:t>
      </w:r>
      <w:bookmarkEnd w:id="197"/>
    </w:p>
    <w:p>
      <w:pPr>
        <w:keepNext/>
      </w:pPr>
      <w:r>
        <w:t>【真实记录日期及时间】 异常病程</w:t>
      </w:r>
    </w:p>
    <w:p>
      <w:pPr>
        <w:keepNext/>
      </w:pPr>
      <w:r>
        <w:t>```text</w:t>
      </w:r>
    </w:p>
    <w:p>
      <w:pPr>
        <w:keepNext/>
        <w:keepLines/>
        <w:spacing w:after="0" w:line="252" w:lineRule="auto"/>
      </w:pPr>
      <w:r>
        <w:t>于【真实时点】发生【症状或异常】，当时【生命体征和关键检查】，考虑【与肾衰电解质紊乱、感染毒性与功能衰退相关的判断及确定度】，已采取【实际措施时间】，复评【结果】，后续【现场团队安排】。</w:t>
      </w:r>
    </w:p>
    <w:p>
      <w:r>
        <w:t>```</w:t>
      </w:r>
    </w:p>
    <w:p>
      <w:bookmarkStart w:id="199" w:name="sec199"/>
      <w:pPr>
        <w:pStyle w:val="Heading3"/>
      </w:pPr>
      <w:r>
        <w:t>29 出院记录</w:t>
      </w:r>
      <w:bookmarkEnd w:id="199"/>
    </w:p>
    <w:p>
      <w:pPr>
        <w:keepNext/>
      </w:pPr>
      <w:r>
        <w:t>【真实记录日期及时间】 出院记录</w:t>
      </w:r>
    </w:p>
    <w:p>
      <w:pPr>
        <w:keepNext/>
      </w:pPr>
      <w:r>
        <w:t>```text</w:t>
      </w:r>
    </w:p>
    <w:p>
      <w:pPr>
        <w:keepNext/>
        <w:keepLines/>
        <w:spacing w:after="0" w:line="252" w:lineRule="auto"/>
      </w:pPr>
      <w:r>
        <w:t>入院情况：【真实内容】</w:t>
      </w:r>
    </w:p>
    <w:p>
      <w:pPr>
        <w:keepNext/>
        <w:keepLines/>
        <w:spacing w:after="0" w:line="252" w:lineRule="auto"/>
      </w:pPr>
      <w:r>
        <w:t>诊疗经过：【儿童老年肿瘤及罕见复杂肾病证据演变及每次实际治疗】</w:t>
      </w:r>
    </w:p>
    <w:p>
      <w:pPr>
        <w:keepNext/>
        <w:keepLines/>
        <w:spacing w:after="0" w:line="252" w:lineRule="auto"/>
      </w:pPr>
      <w:r>
        <w:t>出院诊断：【确定度和最终依据】</w:t>
      </w:r>
    </w:p>
    <w:p>
      <w:pPr>
        <w:keepNext/>
        <w:keepLines/>
        <w:spacing w:after="0" w:line="252" w:lineRule="auto"/>
      </w:pPr>
      <w:r>
        <w:t>出院情况：【实查肾功能、容量和遗留问题】</w:t>
      </w:r>
    </w:p>
    <w:p>
      <w:pPr>
        <w:keepNext/>
        <w:keepLines/>
        <w:spacing w:after="0" w:line="252" w:lineRule="auto"/>
      </w:pPr>
      <w:r>
        <w:t>出院计划：【真实带药、治疗与真实跨科交接、功能营养、遗传咨询和肾功能结局】。</w:t>
      </w:r>
    </w:p>
    <w:p>
      <w:r>
        <w:t>```</w:t>
      </w:r>
    </w:p>
    <w:p>
      <w:bookmarkStart w:id="201" w:name="sec201"/>
      <w:pPr>
        <w:pStyle w:val="Heading3"/>
      </w:pPr>
      <w:r>
        <w:t>30 出院医嘱</w:t>
      </w:r>
      <w:bookmarkEnd w:id="201"/>
    </w:p>
    <w:p>
      <w:pPr>
        <w:keepNext/>
      </w:pPr>
      <w:r>
        <w:t>【真实记录日期及时间】 出院医嘱</w:t>
      </w:r>
    </w:p>
    <w:p>
      <w:pPr>
        <w:keepNext/>
      </w:pPr>
      <w:r>
        <w:t>```text</w:t>
      </w:r>
    </w:p>
    <w:p>
      <w:pPr>
        <w:keepNext/>
        <w:keepLines/>
        <w:spacing w:after="0" w:line="252" w:lineRule="auto"/>
      </w:pPr>
      <w:r>
        <w:t>药物及停复：【真实审核处方和条件】</w:t>
      </w:r>
    </w:p>
    <w:p>
      <w:pPr>
        <w:keepNext/>
        <w:keepLines/>
        <w:spacing w:after="0" w:line="252" w:lineRule="auto"/>
      </w:pPr>
      <w:r>
        <w:t>治疗方式和通路：【适用且已确认安排】</w:t>
      </w:r>
    </w:p>
    <w:p>
      <w:pPr>
        <w:keepNext/>
        <w:keepLines/>
        <w:spacing w:after="0" w:line="252" w:lineRule="auto"/>
      </w:pPr>
      <w:r>
        <w:t>复查及待回报：【围绕真实跨科交接、功能营养、遗传咨询和肾功能结局的实际日期项目责任】</w:t>
      </w:r>
    </w:p>
    <w:p>
      <w:pPr>
        <w:keepNext/>
        <w:keepLines/>
        <w:spacing w:after="0" w:line="252" w:lineRule="auto"/>
      </w:pPr>
      <w:r>
        <w:t>警示症状：【与肾衰电解质紊乱、感染毒性与功能衰退相关且已真实交代的内容】。</w:t>
      </w:r>
    </w:p>
    <w:p>
      <w:r>
        <w:t>```</w:t>
      </w:r>
    </w:p>
    <w:p>
      <w:bookmarkStart w:id="203" w:name="sec203"/>
      <w:pPr>
        <w:pStyle w:val="Heading3"/>
      </w:pPr>
      <w:r>
        <w:t>31 长期随访</w:t>
      </w:r>
      <w:bookmarkEnd w:id="203"/>
    </w:p>
    <w:p>
      <w:r>
        <w:t>真实跨科交接、功能营养、遗传咨询和肾功能结局。记录真实预约和实际完成，不把计划写完成。</w:t>
      </w:r>
    </w:p>
    <w:p>
      <w:bookmarkStart w:id="205" w:name="sec205"/>
      <w:pPr>
        <w:pStyle w:val="Heading3"/>
      </w:pPr>
      <w:r>
        <w:t>32 最终质控</w:t>
      </w:r>
      <w:bookmarkEnd w:id="205"/>
    </w:p>
    <w:p>
      <w:r>
        <w:t>成人阈值和剂量不直接套儿童；肿瘤用药先后不等于因果；核每次诊断、检查可知时间、实际执行和活检和基因结果必须真实；罕见病不能靠模板赋型的证据边界，按10终审。</w:t>
      </w:r>
    </w:p>
    <w:p>
      <w:bookmarkStart w:id="207" w:name="sec207"/>
      <w:pPr>
        <w:pStyle w:val="Heading3"/>
      </w:pPr>
      <w:r>
        <w:t>33 参考指南与版本</w:t>
      </w:r>
      <w:bookmarkEnd w:id="207"/>
    </w:p>
    <w:p>
      <w:r>
        <w:t>采用文末R16、R17、R18、R05、R09的相应正式版本和适用人群。主路径是文书组织，不将所有提示宣称为指南分级推荐；具体推荐及药物使用需实际查原文和本院规范。</w:t>
      </w:r>
    </w:p>
    <w:p>
      <w:bookmarkStart w:id="209" w:name="sec209"/>
      <w:pPr>
        <w:pStyle w:val="Heading1"/>
      </w:pPr>
      <w:r>
        <w:t>相关疾病和治疗分支的差异化调用</w:t>
      </w:r>
      <w:bookmarkEnd w:id="209"/>
    </w:p>
    <w:p>
      <w:bookmarkStart w:id="210" w:name="sec210"/>
      <w:pPr>
        <w:pStyle w:val="Heading2"/>
      </w:pPr>
      <w:r>
        <w:t>排斥及感染及浓度</w:t>
      </w:r>
      <w:bookmarkEnd w:id="210"/>
    </w:p>
    <w:p>
      <w:r>
        <w:t>采样相对给药时间、移植阶段、免疫和感染证据，药物毒性与排斥鉴别。 同时继承上述必要资料、文书及真实性合同；仅在该分支确实适用时调用，不把它当已确诊事实。</w:t>
      </w:r>
    </w:p>
    <w:p>
      <w:bookmarkStart w:id="212" w:name="sec212"/>
      <w:pPr>
        <w:pStyle w:val="Heading2"/>
      </w:pPr>
      <w:r>
        <w:t>高血压及糖尿病及蛋白尿</w:t>
      </w:r>
      <w:bookmarkEnd w:id="212"/>
    </w:p>
    <w:p>
      <w:r>
        <w:t>移植共病和原病复发、药物及系统因素，原病理不能当新移植肾活检。 同时继承上述必要资料、文书及真实性合同；仅在该分支确实适用时调用，不把它当已确诊事实。</w:t>
      </w:r>
    </w:p>
    <w:p>
      <w:bookmarkStart w:id="214" w:name="sec214"/>
      <w:pPr>
        <w:pStyle w:val="Heading2"/>
      </w:pPr>
      <w:r>
        <w:t>妊娠</w:t>
      </w:r>
      <w:bookmarkEnd w:id="214"/>
    </w:p>
    <w:p>
      <w:r>
        <w:t>核孕周母胎风险和禁忌药，常规eGFR不用于妊娠估算，产科实际分工。 同时继承上述必要资料、文书及真实性合同；仅在该分支确实适用时调用，不把它当已确诊事实。</w:t>
      </w:r>
    </w:p>
    <w:p>
      <w:bookmarkStart w:id="216" w:name="sec216"/>
      <w:pPr>
        <w:pStyle w:val="Heading2"/>
      </w:pPr>
      <w:r>
        <w:t>儿童及老年</w:t>
      </w:r>
      <w:bookmarkEnd w:id="216"/>
    </w:p>
    <w:p>
      <w:r>
        <w:t>年龄身高体重和公式、儿童生长或老年肌少衰弱，不能复制成人剂量。 同时继承上述必要资料、文书及真实性合同；仅在该分支确实适用时调用，不把它当已确诊事实。</w:t>
      </w:r>
    </w:p>
    <w:p>
      <w:bookmarkStart w:id="218" w:name="sec218"/>
      <w:pPr>
        <w:pStyle w:val="Heading2"/>
      </w:pPr>
      <w:r>
        <w:t>肿瘤及血液及系统及代谢及罕见</w:t>
      </w:r>
      <w:bookmarkEnd w:id="218"/>
    </w:p>
    <w:p>
      <w:r>
        <w:t>肿瘤溶解TMA、单克隆、药物、遗传等具体证据及真实跨科会诊，不靠名称补病理。 同时继承上述必要资料、文书及真实性合同；仅在该分支确实适用时调用，不把它当已确诊事实。</w:t>
      </w:r>
    </w:p>
    <w:p>
      <w:bookmarkStart w:id="220" w:name="sec220"/>
      <w:pPr>
        <w:pStyle w:val="Heading1"/>
      </w:pPr>
      <w:r>
        <w:t>原始需求覆盖索引</w:t>
      </w:r>
      <w:bookmarkEnd w:id="220"/>
    </w:p>
    <w:p>
      <w:r>
        <w:t>1. 肾移植术后内科管理。</w:t>
      </w:r>
    </w:p>
    <w:p>
      <w:r>
        <w:t>2. 移植肾功能异常。</w:t>
      </w:r>
    </w:p>
    <w:p>
      <w:r>
        <w:t>3. 移植肾急性损伤。</w:t>
      </w:r>
    </w:p>
    <w:p>
      <w:r>
        <w:t>4. 排斥反应待查及相关病理。</w:t>
      </w:r>
    </w:p>
    <w:p>
      <w:r>
        <w:t>5. 移植后感染。</w:t>
      </w:r>
    </w:p>
    <w:p>
      <w:r>
        <w:t>6. 移植后免疫抑制药物管理。</w:t>
      </w:r>
    </w:p>
    <w:p>
      <w:r>
        <w:t>7. 免疫抑制药物血药浓度监测。</w:t>
      </w:r>
    </w:p>
    <w:p>
      <w:r>
        <w:t>8. 移植后高血压及糖尿病。</w:t>
      </w:r>
    </w:p>
    <w:p>
      <w:r>
        <w:t>9. 移植后蛋白尿。</w:t>
      </w:r>
    </w:p>
    <w:p>
      <w:r>
        <w:t>10. 移植肾长期随访。</w:t>
      </w:r>
    </w:p>
    <w:p>
      <w:r>
        <w:t>11. 妊娠相关肾脏疾病。</w:t>
      </w:r>
    </w:p>
    <w:p>
      <w:r>
        <w:t>12. 妊娠期AKI。</w:t>
      </w:r>
    </w:p>
    <w:p>
      <w:r>
        <w:t>13. 妊娠合并CKD。</w:t>
      </w:r>
    </w:p>
    <w:p>
      <w:r>
        <w:t>14. 儿童肾脏病相关病例。</w:t>
      </w:r>
    </w:p>
    <w:p>
      <w:r>
        <w:t>15. 老年复杂肾脏病。</w:t>
      </w:r>
    </w:p>
    <w:p>
      <w:r>
        <w:t>16. 恶性肿瘤及治疗相关肾损害。</w:t>
      </w:r>
    </w:p>
    <w:p>
      <w:r>
        <w:t>17. 血液病相关肾损害。</w:t>
      </w:r>
    </w:p>
    <w:p>
      <w:r>
        <w:t>18. 复杂系统性疾病相关肾损害。</w:t>
      </w:r>
    </w:p>
    <w:p>
      <w:r>
        <w:t>19. 罕见遗传性及代谢性肾病。</w:t>
      </w:r>
    </w:p>
    <w:p>
      <w:r>
        <w:t>20. 多学科复杂肾脏疾病。</w:t>
      </w:r>
    </w:p>
    <w:p>
      <w:bookmarkStart w:id="241" w:name="sec241"/>
      <w:pPr>
        <w:pStyle w:val="Heading1"/>
      </w:pPr>
      <w:r>
        <w:t>虚构病例与完整示范</w:t>
      </w:r>
      <w:bookmarkEnd w:id="241"/>
    </w:p>
    <w:p>
      <w:r>
        <w:t>以下为虚构病例，不进入真实患者事实。输入：N34/E1；肌酐200较基线130升；浓度与活检未知。</w:t>
      </w:r>
    </w:p>
    <w:p>
      <w:pPr>
        <w:keepNext/>
      </w:pPr>
      <w:r>
        <w:t>2026年10月29日 09:00 移植功能异常</w:t>
      </w:r>
    </w:p>
    <w:p>
      <w:pPr>
        <w:keepNext/>
      </w:pPr>
      <w:r>
        <w:t>```text</w:t>
      </w:r>
    </w:p>
    <w:p>
      <w:pPr>
        <w:keepNext/>
        <w:keepLines/>
        <w:spacing w:after="0" w:line="252" w:lineRule="auto"/>
      </w:pPr>
      <w:r>
        <w:t>移植肾血肌酐由基线130 μmol/L升至200 μmol/L，需鉴别容量、梗阻、感染、药物相关损伤与排斥等原因。血药浓度及活检资料未提供，不能直接诊断排斥或编造药物剂量。</w:t>
      </w:r>
    </w:p>
    <w:p>
      <w:r>
        <w:t>```</w:t>
      </w:r>
    </w:p>
    <w:p>
      <w:r>
        <w:t>核查重点：形成示例正文；必保留事实：130、200、不能。详见10静态模拟案例34。</w:t>
      </w:r>
    </w:p>
    <w:p>
      <w:bookmarkStart w:id="245" w:name="sec245"/>
      <w:pPr>
        <w:pStyle w:val="Heading1"/>
      </w:pPr>
      <w:r>
        <w:t>真实性边界与常见错误</w:t>
      </w:r>
      <w:bookmarkEnd w:id="245"/>
    </w:p>
    <w:p>
      <w:r>
        <w:t>日期、时间、文书标题及真实医师姓名职称置于代码框外；每份正式正文放在独立 Markdown text 代码框内。框内仅放医学正文，不重复题头，不加“医学文书正文”、AI说明或未替换变量。日常病程及三级查房为连续完整一段，不分条、不空行、不加多余空格。入院、首次病程、操作、抢救、讨论和出院可按固定栏目组织；真实采样、治疗及抢救事件时间在正文保留。关键冲突在框外列核实项，不能生成未经核实的受影响净稿。</w:t>
      </w:r>
    </w:p>
    <w:p>
      <w:r>
        <w:t>知识、建议、医师计划、已开医嘱、已开始、已完成、暂停、停止、取消与恢复各有独立来源。不得从相邻状态推定实施，不从常见路径补写剂量、操作细节或疗效。</w:t>
      </w:r>
    </w:p>
    <w:p>
      <w:r>
        <w:t>常见错误：基线不明强分期；旧查体写今日；未来病理倒灌；目标超滤写实际；透析净量重复计入；只有医嘱却写给药；用职称代替真实查房决策。</w:t>
      </w:r>
    </w:p>
    <w:p>
      <w:bookmarkStart w:id="249" w:name="sec249"/>
      <w:pPr>
        <w:pStyle w:val="Heading1"/>
      </w:pPr>
      <w:r>
        <w:t>最终核对及协同</w:t>
      </w:r>
      <w:bookmarkEnd w:id="249"/>
    </w:p>
    <w:p>
      <w:r>
        <w:t>01 身份及本次住院一致。不适用者说明原因；不能以不适用掩盖应核实的重要事实。</w:t>
      </w:r>
    </w:p>
    <w:p>
      <w:r>
        <w:t>02 采样与可知时间正确。不适用者说明原因；不能以不适用掩盖应核实的重要事实。</w:t>
      </w:r>
    </w:p>
    <w:p>
      <w:r>
        <w:t>03 单位方法可比且基线有来源。不适用者说明原因；不能以不适用掩盖应核实的重要事实。</w:t>
      </w:r>
    </w:p>
    <w:p>
      <w:r>
        <w:t>04 诊断证据与确定度相符。不适用者说明原因；不能以不适用掩盖应核实的重要事实。</w:t>
      </w:r>
    </w:p>
    <w:p>
      <w:r>
        <w:t>05 尿量统计完整并明确区间。不适用者说明原因；不能以不适用掩盖应核实的重要事实。</w:t>
      </w:r>
    </w:p>
    <w:p>
      <w:r>
        <w:t>06 容量及超滤不重复。不适用者说明原因；不能以不适用掩盖应核实的重要事实。</w:t>
      </w:r>
    </w:p>
    <w:p>
      <w:r>
        <w:t>07 病理阶段和报告归属正确。不适用者说明原因；不能以不适用掩盖应核实的重要事实。</w:t>
      </w:r>
    </w:p>
    <w:p>
      <w:r>
        <w:t>08 药物医嘱与执行分开。不适用者说明原因；不能以不适用掩盖应核实的重要事实。</w:t>
      </w:r>
    </w:p>
    <w:p>
      <w:r>
        <w:t>09 每次透析和通路独立。不适用者说明原因；不能以不适用掩盖应核实的重要事实。</w:t>
      </w:r>
    </w:p>
    <w:p>
      <w:r>
        <w:t>10 真实医师意见可追溯。不适用者说明原因；不能以不适用掩盖应核实的重要事实。</w:t>
      </w:r>
    </w:p>
    <w:p>
      <w:r>
        <w:t>11 未替换占位符清零。不适用者说明原因；不能以不适用掩盖应核实的重要事实。</w:t>
      </w:r>
    </w:p>
    <w:p>
      <w:r>
        <w:t>12 题头与代码框及单段正确。不适用者说明原因；不能以不适用掩盖应核实的重要事实。</w:t>
      </w:r>
    </w:p>
    <w:p>
      <w:r>
        <w:t>00识别任务，01约束，11核病例状态；02组织文书，03实查容量，04检查与病理，05操作，06异常，07治疗，08真实层级意见，09长期管理，101—108提供疾病分支，10终审。仅加载实际相关模块。</w:t>
      </w:r>
    </w:p>
    <w:p>
      <w:bookmarkStart w:id="263" w:name="sec263"/>
      <w:pPr>
        <w:pStyle w:val="Heading1"/>
      </w:pPr>
      <w:r>
        <w:t>参考依据与版本维护</w:t>
      </w:r>
      <w:bookmarkEnd w:id="263"/>
    </w:p>
    <w:p>
      <w:r>
        <w:t>[R01] 病历书写基本规范。原卫生部，2010正式。适用：住院及门急诊文书。核验日期2026年10月29日；核验范围为发布状态及本模块引用规则，不代表所有推荐已逐条审查。</w:t>
      </w:r>
    </w:p>
    <w:p>
      <w:r>
        <w:t>https://www.nhc.gov.cn/wjw/c100175/201002/b1bec53d90f243e0861529723f00221a.shtml</w:t>
      </w:r>
    </w:p>
    <w:p>
      <w:r>
        <w:t>[R02] 医疗质量安全核心制度要点。国家卫生健康委，2018正式。适用：医疗质量管理。核验日期2026年10月29日；核验范围为发布状态及本模块引用规则，不代表所有推荐已逐条审查。</w:t>
      </w:r>
    </w:p>
    <w:p>
      <w:r>
        <w:t>https://www.nhc.gov.cn/yzygj/c100068/201804/42ab2552298047679cd6ec733f233862.shtml</w:t>
      </w:r>
    </w:p>
    <w:p>
      <w:r>
        <w:t>[R16] Care of Kidney Transplant Recipients。KDIGO，2009正式；不声称为所有主题的最新证据。适用：成人儿童肾移植受者。核验日期2026年10月29日；核验范围为发布状态及本模块引用规则，不代表所有推荐已逐条审查。</w:t>
      </w:r>
    </w:p>
    <w:p>
      <w:r>
        <w:t>https://kdigo.org/guidelines/transplant-recipient/</w:t>
      </w:r>
    </w:p>
    <w:p>
      <w:r>
        <w:t>[R17] Clinical practice guideline on pregnancy and renal disease。UK Kidney Association等，2019正式。适用：妊娠合并肾病；中国临床须联合产科制度。核验日期2026年10月29日；核验范围为发布状态及本模块引用规则，不代表所有推荐已逐条审查。</w:t>
      </w:r>
    </w:p>
    <w:p>
      <w:r>
        <w:t>https://link.springer.com/article/10.1186/s12882-019-1560-2</w:t>
      </w:r>
    </w:p>
    <w:p>
      <w:r>
        <w:t>[R18] Nephrotic Syndrome in Children。KDIGO，2025正式。适用：儿童肾病综合征。核验日期2026年10月29日；核验范围为发布状态及本模块引用规则，不代表所有推荐已逐条审查。</w:t>
      </w:r>
    </w:p>
    <w:p>
      <w:r>
        <w:t>https://kdigo.org/guidelines/nephrotic-syndrome-in-children/</w:t>
      </w:r>
    </w:p>
    <w:p>
      <w:r>
        <w:t>[R05] CKD Evaluation and Management。KDIGO，2024正式。适用：成人及指南相应儿童CKD章节。核验日期2026年10月29日；核验范围为发布状态及本模块引用规则，不代表所有推荐已逐条审查。</w:t>
      </w:r>
    </w:p>
    <w:p>
      <w:r>
        <w:t>https://kdigo.org/wp-content/uploads/2024/03/KDIGO-2024-CKD-Guideline.pdf</w:t>
      </w:r>
    </w:p>
    <w:p>
      <w:r>
        <w:t>[R09] Glomerular Diseases及章节更新。KDIGO，2021正式；LN及ANCA 2024；IgAN 2025覆盖旧章节。适用：肾小球疾病；按疾病章节分开使用。核验日期2026年10月29日；核验范围为发布状态及本模块引用规则，不代表所有推荐已逐条审查。</w:t>
      </w:r>
    </w:p>
    <w:p>
      <w:r>
        <w:t>https://kdigo.org/guidelines/gd/</w:t>
      </w:r>
    </w:p>
    <w:p>
      <w:r>
        <w:t>KDIGO 2026 AKI/AKD及糖尿病更新、2027 CKD药物管理更新仍按官方网站显示的公开草案状态管理，不能作为已发布新标准。2012 AKI、2022糖尿病等正式版在相应范围继续使用。每季度及重要更新时核查；由科室、药师与病案质控审校，记录版本、变更依据、生效日期并重跑受影响样例。药物批准范围与具体操作须核本院及现行说明书。</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108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00"/>
    </w:pPr>
    <w:rPr>
      <w:rFonts w:ascii="Heiti SC" w:hAnsi="Heiti SC" w:eastAsia="Heiti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eiti SC" w:hAnsi="Heiti SC" w:eastAsia="Heiti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eiti SC" w:hAnsi="Heiti SC" w:eastAsia="Heiti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eiti SC" w:hAnsi="Heiti SC" w:eastAsia="Heiti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Heiti SC" w:hAnsi="Heiti SC" w:eastAsia="Heiti SC"/>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