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肾内科AI自动调用路由与病例状态管理规则库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患者、住院、检验、病理、药物和每次透析事件的调度及隔离。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字段包装与可知时间</w:t>
        </w:r>
      </w:hyperlink>
    </w:p>
    <w:p>
      <w:hyperlink w:anchor="sec8">
        <w:r>
          <w:t>独立状态域</w:t>
        </w:r>
      </w:hyperlink>
    </w:p>
    <w:p>
      <w:hyperlink w:anchor="sec23">
        <w:r>
          <w:t>状态迁移与隔离</w:t>
        </w:r>
      </w:hyperlink>
    </w:p>
    <w:p>
      <w:hyperlink w:anchor="sec25">
        <w:r>
          <w:t>六条时间轴</w:t>
        </w:r>
      </w:hyperlink>
    </w:p>
    <w:p>
      <w:hyperlink w:anchor="sec32">
        <w:r>
          <w:t>路由执行伪代码</w:t>
        </w:r>
      </w:hyperlink>
    </w:p>
    <w:p>
      <w:hyperlink w:anchor="sec34">
        <w:r>
          <w:t>虚构病例与完整示范</w:t>
        </w:r>
      </w:hyperlink>
    </w:p>
    <w:p>
      <w:hyperlink w:anchor="sec38">
        <w:r>
          <w:t>真实性边界与常见错误</w:t>
        </w:r>
      </w:hyperlink>
    </w:p>
    <w:p>
      <w:hyperlink w:anchor="sec42">
        <w:r>
          <w:t>最终核对及协同</w:t>
        </w:r>
      </w:hyperlink>
    </w:p>
    <w:p>
      <w:hyperlink w:anchor="sec56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功能定位：患者、住院、检验、病理、药物和每次透析事件的调度及隔离。</w:t>
      </w:r>
    </w:p>
    <w:p>
      <w:r>
        <w:t>适用场景与自动调用：患者切换、跨日、病理回报、多次住院、方式转换、治疗停复及新文书。</w:t>
      </w:r>
    </w:p>
    <w:p>
      <w:r>
        <w:t>必要资料：带主键和时间的状态摘要及本次增量资料。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字段包装与可知时间</w:t>
      </w:r>
      <w:bookmarkEnd w:id="6"/>
    </w:p>
    <w:p>
      <w:r>
        <w:t>每值使用 value、unit、patient_id、encounter_id、event_id、occurred_at、available_at、recorded_at、source_id、verification。能确认发生时间但回报更晚的检查，过去时点文书不能引用其后来结论；事后补记须明确真实补记，不伪造记录时间。</w:t>
      </w:r>
    </w:p>
    <w:p>
      <w:bookmarkStart w:id="8" w:name="sec8"/>
      <w:pPr>
        <w:pStyle w:val="Heading1"/>
      </w:pPr>
      <w:r>
        <w:t>独立状态域</w:t>
      </w:r>
      <w:bookmarkEnd w:id="8"/>
    </w:p>
    <w:p>
      <w:bookmarkStart w:id="9" w:name="sec9"/>
      <w:pPr>
        <w:pStyle w:val="Heading2"/>
      </w:pPr>
      <w:r>
        <w:t>身份与诊断</w:t>
      </w:r>
      <w:bookmarkEnd w:id="9"/>
    </w:p>
    <w:p>
      <w:r>
        <w:t>患者双标识、住院次数、入院、目标文书日期、主诊断合并症待排；诊断保留证据与版本。</w:t>
      </w:r>
    </w:p>
    <w:p>
      <w:bookmarkStart w:id="11" w:name="sec11"/>
      <w:pPr>
        <w:pStyle w:val="Heading2"/>
      </w:pPr>
      <w:r>
        <w:t>肾功能</w:t>
      </w:r>
      <w:bookmarkEnd w:id="11"/>
    </w:p>
    <w:p>
      <w:r>
        <w:t>基线来源、连续肌酐及采样、eGFR方法、尿量窗口、体重、AKI阶段、CKD慢性和G/A、蛋白尿病因。</w:t>
      </w:r>
    </w:p>
    <w:p>
      <w:bookmarkStart w:id="13" w:name="sec13"/>
      <w:pPr>
        <w:pStyle w:val="Heading2"/>
      </w:pPr>
      <w:r>
        <w:t>容量与电解质</w:t>
      </w:r>
      <w:bookmarkEnd w:id="13"/>
    </w:p>
    <w:p>
      <w:r>
        <w:t>实测体重与干体重、入量、尿量、其他出量、各方式实际净移除及已纳入总出量标记，血压水肿钾钠酸碱。</w:t>
      </w:r>
    </w:p>
    <w:p>
      <w:bookmarkStart w:id="15" w:name="sec15"/>
      <w:pPr>
        <w:pStyle w:val="Heading2"/>
      </w:pPr>
      <w:r>
        <w:t>病理</w:t>
      </w:r>
      <w:bookmarkEnd w:id="15"/>
    </w:p>
    <w:p>
      <w:r>
        <w:t>拟穿刺、术前评估、实际操作、标本质量、LM/IF/EM各自状态与回报、整合病理、当前诊断修订。部分报告不必按固定先后返回。</w:t>
      </w:r>
    </w:p>
    <w:p>
      <w:bookmarkStart w:id="17" w:name="sec17"/>
      <w:pPr>
        <w:pStyle w:val="Heading2"/>
      </w:pPr>
      <w:r>
        <w:t>血透与CRRT</w:t>
      </w:r>
      <w:bookmarkEnd w:id="17"/>
    </w:p>
    <w:p>
      <w:r>
        <w:t>每事件独立方式、处方、通路、开始结束、中断恢复、处方与实际时长、目标实际超滤、抗凝、不良事件。</w:t>
      </w:r>
    </w:p>
    <w:p>
      <w:bookmarkStart w:id="19" w:name="sec19"/>
      <w:pPr>
        <w:pStyle w:val="Heading2"/>
      </w:pPr>
      <w:r>
        <w:t>腹透</w:t>
      </w:r>
      <w:bookmarkEnd w:id="19"/>
    </w:p>
    <w:p>
      <w:r>
        <w:t>导管、方式和处方版本、每次或指定区间实际交换、灌排留腹超滤、液体外观、出口实查、感染证据。</w:t>
      </w:r>
    </w:p>
    <w:p>
      <w:bookmarkStart w:id="21" w:name="sec21"/>
      <w:pPr>
        <w:pStyle w:val="Heading2"/>
      </w:pPr>
      <w:r>
        <w:t>药物及出院</w:t>
      </w:r>
      <w:bookmarkEnd w:id="21"/>
    </w:p>
    <w:p>
      <w:r>
        <w:t>药物知识、医师计划、医嘱、每次执行及停复；出院诊断、未解决问题、实际带药、透析和复查计划。</w:t>
      </w:r>
    </w:p>
    <w:p>
      <w:bookmarkStart w:id="23" w:name="sec23"/>
      <w:pPr>
        <w:pStyle w:val="Heading1"/>
      </w:pPr>
      <w:r>
        <w:t>状态迁移与隔离</w:t>
      </w:r>
      <w:bookmarkEnd w:id="23"/>
    </w:p>
    <w:p>
      <w:r>
        <w:t>新患者或新住院新建隔离域，历史肾病史只按来源导入，不连带旧处方。拟行→已决定→已开医嘱→实际开始→完成或中断，均需证据；取消和暂停不等停止后永不恢复。更换方式建立新处方事件并结束或标记旧方式状态。通路建立、可用、使用、异常、调整和拔除各有来源，日期不自动证明内瘘成熟。</w:t>
      </w:r>
    </w:p>
    <w:p>
      <w:bookmarkStart w:id="25" w:name="sec25"/>
      <w:pPr>
        <w:pStyle w:val="Heading1"/>
      </w:pPr>
      <w:r>
        <w:t>六条时间轴</w:t>
      </w:r>
      <w:bookmarkEnd w:id="25"/>
    </w:p>
    <w:p>
      <w:r>
        <w:t>基线肾功能→急性变化→连续复查→恢复或恶化→RRT评估→长期结局</w:t>
      </w:r>
    </w:p>
    <w:p>
      <w:r>
        <w:t>拟穿刺→术前→实际穿刺→术后→LM/IF/EM独立回报→整合→诊断修订</w:t>
      </w:r>
    </w:p>
    <w:p>
      <w:r>
        <w:t>血透指征→通路→处方→实际开始→中监测→实际结束→复评→下次计划</w:t>
      </w:r>
    </w:p>
    <w:p>
      <w:r>
        <w:t>腹透导管→处方→实际换液→排液超滤→液体变化→检验→调整→随访</w:t>
      </w:r>
    </w:p>
    <w:p>
      <w:r>
        <w:t>拟药→医嘱→执行→反应→调整→暂停→恢复或停止</w:t>
      </w:r>
    </w:p>
    <w:p>
      <w:r>
        <w:t>临床怀疑→检查→确诊或排除→病理回报→当前修正→长期管理</w:t>
      </w:r>
    </w:p>
    <w:p>
      <w:bookmarkStart w:id="32" w:name="sec32"/>
      <w:pPr>
        <w:pStyle w:val="Heading1"/>
      </w:pPr>
      <w:r>
        <w:t>路由执行伪代码</w:t>
      </w:r>
      <w:bookmarkEnd w:id="32"/>
    </w:p>
    <w:p>
      <w:r>
        <w:t>确认主键；隔离异患者资料；以目标时点筛选可知事实；检查阻断；识别文书、病种、治疗方式与事件；选择00表最小模块；构成候选；10审查；将核实提示置框外；输出正文。此为可执行的使用协议，不宣称已有后台程序。</w:t>
      </w:r>
    </w:p>
    <w:p>
      <w:bookmarkStart w:id="34" w:name="sec34"/>
      <w:pPr>
        <w:pStyle w:val="Heading1"/>
      </w:pPr>
      <w:r>
        <w:t>虚构病例与完整示范</w:t>
      </w:r>
      <w:bookmarkEnd w:id="34"/>
    </w:p>
    <w:p>
      <w:r>
        <w:t>以下为虚构病例，不进入真实患者事实。输入：N31/E1；医师拟改APD，未开新医嘱，仍CAPD实际。</w:t>
      </w:r>
    </w:p>
    <w:p>
      <w:pPr>
        <w:keepNext/>
      </w:pPr>
      <w:r>
        <w:t>2026年10月29日 09:00 腹透调整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目前实际执行CAPD，医师拟评估转换APD，新处方尚未开立及执行。不能将APD写为已开始，也不能沿用CAPD参数作为APD设置。</w:t>
      </w:r>
    </w:p>
    <w:p>
      <w:r>
        <w:t>```</w:t>
      </w:r>
    </w:p>
    <w:p>
      <w:r>
        <w:t>核查重点：形成示例正文；必保留事实：CAPD、APD、尚未。详见10静态模拟案例31。</w:t>
      </w:r>
    </w:p>
    <w:p>
      <w:bookmarkStart w:id="38" w:name="sec38"/>
      <w:pPr>
        <w:pStyle w:val="Heading1"/>
      </w:pPr>
      <w:r>
        <w:t>真实性边界与常见错误</w:t>
      </w:r>
      <w:bookmarkEnd w:id="38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42" w:name="sec42"/>
      <w:pPr>
        <w:pStyle w:val="Heading1"/>
      </w:pPr>
      <w:r>
        <w:t>最终核对及协同</w:t>
      </w:r>
      <w:bookmarkEnd w:id="42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56" w:name="sec56"/>
      <w:pPr>
        <w:pStyle w:val="Heading1"/>
      </w:pPr>
      <w:r>
        <w:t>参考依据与版本维护</w:t>
      </w:r>
      <w:bookmarkEnd w:id="56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[R03] 电子病历应用管理规范 试行。原国家卫生计生委 国家中医药局，2017正式。适用：电子病历建立修改和留痕。核验日期2026年10月29日；核验范围为发布状态及本模块引用规则，不代表所有推荐已逐条审查。</w:t>
      </w:r>
    </w:p>
    <w:p>
      <w:r>
        <w:t>https://www.nhc.gov.cn/zwgk/jdjd/201702/7d951fbd60d240f3b3ade52241c2c75a.shtml</w:t>
      </w:r>
    </w:p>
    <w:p>
      <w:r>
        <w:t>[R21] 进一步加强医疗机构电子病历信息使用管理的通知。国家卫生健康委，2025正式。适用：电子病历权限及使用管理。核验日期2026年10月29日；核验范围为发布状态及本模块引用规则，不代表所有推荐已逐条审查。</w:t>
      </w:r>
    </w:p>
    <w:p>
      <w:r>
        <w:t>https://www.nhc.gov.cn/yzygj/c100068/202506/c68abee7c54b4651a774cd533761780b.shtml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11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