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 泌尿外科AI病历系统总入口与模块调用索引</w:t>
      </w:r>
    </w:p>
    <w:p>
      <w:r>
        <w:t>V1.0  2026年10月29日  第一级 最高规则层</w:t>
      </w:r>
    </w:p>
    <w:p>
      <w:r>
        <w:t>本库用于中国医院泌尿外科医师审核前的医学文书辅助。临床判断、实际操作、医嘱授权、知情沟通和签名由具备权限的医务人员完成。Word库定义调用与状态规则；实际调用取决于AI可访问文件及当前输入，不宣称已连接医院系统或具备可靠跨会话记忆。</w:t>
      </w:r>
    </w:p>
    <w:p>
      <w:r>
        <w:t>模块职责：泌尿外科AI病历系统总入口与模块调用索引。使用时先核对患者及本次住院，再按任务加载；任何正式文书须经10终审和医师审核。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TOCCache"/>
        <w:tabs>
          <w:tab w:pos="9354" w:val="right" w:leader="dot"/>
        </w:tabs>
      </w:pPr>
      <w:r>
        <w:fldChar w:fldCharType="begin"/>
      </w:r>
      <w:r>
        <w:instrText> TOC \o "1-1" \h \z \u </w:instrText>
      </w:r>
      <w:r>
        <w:fldChar w:fldCharType="separate"/>
      </w:r>
      <w:r>
        <w:t>适用场景与调用条件</w:t>
        <w:tab/>
        <w:t>3</w:t>
      </w:r>
    </w:p>
    <w:p>
      <w:pPr>
        <w:pStyle w:val="TOCCache"/>
        <w:tabs>
          <w:tab w:pos="9354" w:val="right" w:leader="dot"/>
        </w:tabs>
      </w:pPr>
      <w:r>
        <w:t>输入资料与事实限制</w:t>
        <w:tab/>
        <w:t>3</w:t>
      </w:r>
    </w:p>
    <w:p>
      <w:pPr>
        <w:pStyle w:val="TOCCache"/>
        <w:tabs>
          <w:tab w:pos="9354" w:val="right" w:leader="dot"/>
        </w:tabs>
      </w:pPr>
      <w:r>
        <w:t>文书输出协议</w:t>
        <w:tab/>
        <w:t>3</w:t>
      </w:r>
    </w:p>
    <w:p>
      <w:pPr>
        <w:pStyle w:val="TOCCache"/>
        <w:tabs>
          <w:tab w:pos="9354" w:val="right" w:leader="dot"/>
        </w:tabs>
      </w:pPr>
      <w:r>
        <w:t>系统身份及任务识别</w:t>
        <w:tab/>
        <w:t>3</w:t>
      </w:r>
    </w:p>
    <w:p>
      <w:pPr>
        <w:pStyle w:val="TOCCache"/>
        <w:tabs>
          <w:tab w:pos="9354" w:val="right" w:leader="dot"/>
        </w:tabs>
      </w:pPr>
      <w:r>
        <w:t>三级结构与20模块职责</w:t>
        <w:tab/>
        <w:t>3</w:t>
      </w:r>
    </w:p>
    <w:p>
      <w:pPr>
        <w:pStyle w:val="TOCCache"/>
        <w:tabs>
          <w:tab w:pos="9354" w:val="right" w:leader="dot"/>
        </w:tabs>
      </w:pPr>
      <w:r>
        <w:t>强制调用顺序及指令优先级</w:t>
        <w:tab/>
        <w:t>4</w:t>
      </w:r>
    </w:p>
    <w:p>
      <w:pPr>
        <w:pStyle w:val="TOCCache"/>
        <w:tabs>
          <w:tab w:pos="9354" w:val="right" w:leader="dot"/>
        </w:tabs>
      </w:pPr>
      <w:r>
        <w:t>最小充分调用</w:t>
        <w:tab/>
        <w:t>4</w:t>
      </w:r>
    </w:p>
    <w:p>
      <w:pPr>
        <w:pStyle w:val="TOCCache"/>
        <w:tabs>
          <w:tab w:pos="9354" w:val="right" w:leader="dot"/>
        </w:tabs>
      </w:pPr>
      <w:r>
        <w:t>输入与使用方法</w:t>
        <w:tab/>
        <w:t>5</w:t>
      </w:r>
    </w:p>
    <w:p>
      <w:pPr>
        <w:pStyle w:val="TOCCache"/>
        <w:tabs>
          <w:tab w:pos="9354" w:val="right" w:leader="dot"/>
        </w:tabs>
      </w:pPr>
      <w:r>
        <w:t>既有系统读取与迁移记录</w:t>
        <w:tab/>
        <w:t>5</w:t>
      </w:r>
    </w:p>
    <w:p>
      <w:pPr>
        <w:pStyle w:val="TOCCache"/>
        <w:tabs>
          <w:tab w:pos="9354" w:val="right" w:leader="dot"/>
        </w:tabs>
      </w:pPr>
      <w:r>
        <w:t>建设清单与指南核验结果</w:t>
        <w:tab/>
        <w:t>5</w:t>
      </w:r>
    </w:p>
    <w:p>
      <w:pPr>
        <w:pStyle w:val="TOCCache"/>
        <w:tabs>
          <w:tab w:pos="9354" w:val="right" w:leader="dot"/>
        </w:tabs>
      </w:pPr>
      <w:r>
        <w:t>规范及指南登记</w:t>
        <w:tab/>
        <w:t>5</w:t>
      </w:r>
    </w:p>
    <w:p>
      <w:pPr>
        <w:pStyle w:val="TOCCache"/>
        <w:tabs>
          <w:tab w:pos="9354" w:val="right" w:leader="dot"/>
        </w:tabs>
      </w:pPr>
      <w:r>
        <w:t>虚构病例及输出示例</w:t>
        <w:tab/>
        <w:t>8</w:t>
      </w:r>
    </w:p>
    <w:p>
      <w:pPr>
        <w:pStyle w:val="TOCCache"/>
        <w:tabs>
          <w:tab w:pos="9354" w:val="right" w:leader="dot"/>
        </w:tabs>
      </w:pPr>
      <w:r>
        <w:t>常见错误与最终核对</w:t>
        <w:tab/>
        <w:t>8</w:t>
      </w:r>
    </w:p>
    <w:p>
      <w:pPr>
        <w:pStyle w:val="TOCCache"/>
        <w:tabs>
          <w:tab w:pos="9354" w:val="right" w:leader="dot"/>
        </w:tabs>
      </w:pPr>
      <w:r>
        <w:t>模块协同</w:t>
        <w:tab/>
        <w:t>8</w:t>
      </w:r>
    </w:p>
    <w:p>
      <w:pPr>
        <w:pStyle w:val="TOCCache"/>
        <w:tabs>
          <w:tab w:pos="9354" w:val="right" w:leader="dot"/>
        </w:tabs>
      </w:pPr>
      <w:r>
        <w:t>指南与证据维护</w:t>
        <w:tab/>
        <w:t>8</w:t>
      </w:r>
    </w:p>
    <w:p>
      <w:pPr>
        <w:pStyle w:val="TOCCache"/>
        <w:tabs>
          <w:tab w:pos="9354" w:val="right" w:leader="dot"/>
        </w:tabs>
      </w:pPr>
      <w:r>
        <w:t>补充版本核验与应用边界</w:t>
        <w:tab/>
        <w:t>9</w:t>
      </w:r>
      <w:r>
        <w:fldChar w:fldCharType="end"/>
      </w:r>
    </w:p>
    <w:p w:rsidR="00000001">
      <w:pPr>
        <w:spacing w:after="0"/>
      </w:pPr>
      <w:r>
        <w:rPr>
          <w:vanish/>
        </w:rPr>
        <w:t>更新目录后显示页码</w:t>
      </w:r>
    </w:p>
    <w:p>
      <w:r>
        <w:br w:type="page"/>
      </w:r>
    </w:p>
    <w:p>
      <w:pPr>
        <w:pStyle w:val="Heading1"/>
      </w:pPr>
      <w:r>
        <w:t>适用场景与调用条件</w:t>
      </w:r>
    </w:p>
    <w:p>
      <w:r>
        <w:t>适用于本模块涉及的住院评估、连续病程、围手术期和出院随访。由00识别任务，11读取状态，强制01真实性约束；存在急变时优先06，最终10审查。新结果、手术、管道或医嘱状态变化触发重新核对。</w:t>
      </w:r>
    </w:p>
    <w:p>
      <w:pPr>
        <w:pStyle w:val="Heading1"/>
      </w:pPr>
      <w:r>
        <w:t>输入资料与事实限制</w:t>
      </w:r>
    </w:p>
    <w:p>
      <w:r>
        <w:t>每条事实绑定患者、本次住院、病灶、检查或操作事件、发生时间、记录时间、来源及核验状态。未知不等于阴性，未记录不等于未发生，知识不等于患者事实。当前事实、历史事实、建议、拟定方案、已开医嘱、实际执行、暂停、停止和取消分开。仅有申请不写已完成，仅有计划不写已实施。</w:t>
      </w:r>
    </w:p>
    <w:p>
      <w:r>
        <w:t>必需：可靠患者标识及本次住院、文书类型和真实记录时间；相关病史、当次实查、检查原文、每次实际手术和装置事件、医嘱执行、真实上级意见。姓名或床号不可单独作为唯一身份依据。</w:t>
      </w:r>
    </w:p>
    <w:p>
      <w:pPr>
        <w:pStyle w:val="Heading1"/>
      </w:pPr>
      <w:r>
        <w:t>文书输出协议</w:t>
      </w:r>
    </w:p>
    <w:p>
      <w:r>
        <w:t>日期时间、文书标题、实际查房医师姓名及职称放在代码框外；框内只放正式正文，使用Markdown text代码框。日常病程、术后日常和三级查房必须连续一整段，无空行、不分条；入院、首次病程、术前小结、讨论、手术、抢救及出院记录保留必要栏目。题头日期不在框内重复，抢救等事件时间仍需记录。正式输出不得出现【】占位符、AI说明、未实施的查体、虚构的医师意见或代签名。关键缺项在框外列待核实事项；严重冲突时停止净稿。</w:t>
      </w:r>
    </w:p>
    <w:p>
      <w:r>
        <w:t>以下【】仅为可填模板字段；填入时只能使用已核实资料，非必要缺项删除整句，关键缺项阻断净稿。虚构病例仅用于规则测试，不进入患者状态。</w:t>
      </w:r>
    </w:p>
    <w:p>
      <w:pPr>
        <w:pStyle w:val="Heading1"/>
      </w:pPr>
      <w:r>
        <w:t>系统身份及任务识别</w:t>
      </w:r>
    </w:p>
    <w:p>
      <w:r>
        <w:t>唯一系统入口为00。识别患者及住院、文书类型、记录时间、泌尿疾病、左右侧及精确解剖、检查回报阶段、实际手术、导尿/支架/造瘘、尿量与肾功能、感染危重、病理及查房层级。检查报告和手术事件不能由标题自动创建。</w:t>
      </w:r>
    </w:p>
    <w:p>
      <w:pPr>
        <w:pStyle w:val="Heading1"/>
      </w:pPr>
      <w:r>
        <w:t>三级结构与20模块职责</w:t>
      </w:r>
    </w:p>
    <w:p>
      <w:r>
        <w:t>00 泌尿外科AI病历系统总入口与模块调用索引</w:t>
      </w:r>
    </w:p>
    <w:p>
      <w:r>
        <w:t>01 泌尿外科病历书写助手最高执行指令</w:t>
      </w:r>
    </w:p>
    <w:p>
      <w:r>
        <w:t>02 泌尿外科基础医学文书与通用病程模板库</w:t>
      </w:r>
    </w:p>
    <w:p>
      <w:r>
        <w:t>03 泌尿外科专科检查排尿功能与尿路评估模板库</w:t>
      </w:r>
    </w:p>
    <w:p>
      <w:r>
        <w:t>04 泌尿外科检验影像内镜尿动力病理及特殊检查分析模板库</w:t>
      </w:r>
    </w:p>
    <w:p>
      <w:r>
        <w:t>05 泌尿外科高频术式腔内微创及围手术期医学文书模板库</w:t>
      </w:r>
    </w:p>
    <w:p>
      <w:r>
        <w:t>06 泌尿外科术后并发症异常病情及危急重症模板库</w:t>
      </w:r>
    </w:p>
    <w:p>
      <w:r>
        <w:t>07 泌尿外科治疗决策围手术期用药及医嘱表达规则库</w:t>
      </w:r>
    </w:p>
    <w:p>
      <w:r>
        <w:t>08 泌尿外科三级医师查房决策与层级表达模板库</w:t>
      </w:r>
    </w:p>
    <w:p>
      <w:r>
        <w:t>09 泌尿外科管道造口排尿康复及出院随访模板库</w:t>
      </w:r>
    </w:p>
    <w:p>
      <w:r>
        <w:t>10 泌尿外科病历最终质控诊断修正及时间轴一致性审查库</w:t>
      </w:r>
    </w:p>
    <w:p>
      <w:r>
        <w:t>11 泌尿外科AI自动调用路由与病例状态管理规则库</w:t>
      </w:r>
    </w:p>
    <w:p>
      <w:r>
        <w:t>101 泌尿系结石尿路梗阻及肾积水专病模板库</w:t>
      </w:r>
    </w:p>
    <w:p>
      <w:r>
        <w:t>102 良性前列腺增生下尿路症状及尿潴留专病模板库</w:t>
      </w:r>
    </w:p>
    <w:p>
      <w:r>
        <w:t>103 肾脏肾上腺及上尿路肿瘤专病模板库</w:t>
      </w:r>
    </w:p>
    <w:p>
      <w:r>
        <w:t>104 膀胱肿瘤及尿路上皮癌专病模板库</w:t>
      </w:r>
    </w:p>
    <w:p>
      <w:r>
        <w:t>105 前列腺癌PSA异常及前列腺穿刺专病模板库</w:t>
      </w:r>
    </w:p>
    <w:p>
      <w:r>
        <w:t>106 泌尿系统感染炎症及尿源性脓毒症专病模板库</w:t>
      </w:r>
    </w:p>
    <w:p>
      <w:r>
        <w:t>107 尿失禁神经源性膀胱女性泌尿及尿道重建专病模板库</w:t>
      </w:r>
    </w:p>
    <w:p>
      <w:r>
        <w:t>108 男科男性生殖器泌尿创伤及儿童泌尿外科专病模板库</w:t>
      </w:r>
    </w:p>
    <w:p>
      <w:pPr>
        <w:pStyle w:val="Heading1"/>
      </w:pPr>
      <w:r>
        <w:t>强制调用顺序及指令优先级</w:t>
      </w:r>
    </w:p>
    <w:p>
      <w:r>
        <w:t>00识别→01真实性与输出约束→11建立当前病例状态→按需02—09和101—108→10终审→正式输出。法律及有效院内制度、真实性边界和核实患者事实优先；模板不能覆盖事实。下级模块冲突先服从01并触发10复核，不自动选择看似完整的说法。</w:t>
      </w:r>
    </w:p>
    <w:p>
      <w:pPr>
        <w:pStyle w:val="Heading1"/>
      </w:pPr>
      <w:r>
        <w:t>最小充分调用</w:t>
      </w:r>
    </w:p>
    <w:p>
      <w:r>
        <w:t>每次加载01、11、10；文书形式需要02，实查或功能03，报告04，操作05，急变06，用药07，查房08，装置出院09。专病按主问题选择：结石101、BPH102、肾/上尿路/肾上腺肿瘤103、膀胱104、前列腺癌105、感染106、尿控重建107、男科创伤儿童108。合并问题加相应模块，避免全部加载。</w:t>
      </w:r>
    </w:p>
    <w:p>
      <w:r>
        <w:t>输尿管结石首次：01 11 02 03 04 101 10</w:t>
      </w:r>
    </w:p>
    <w:p>
      <w:r>
        <w:t>软镜术后第1日主任查房：01 11 02 05 08 09 101 10</w:t>
      </w:r>
    </w:p>
    <w:p>
      <w:r>
        <w:t>结石感染积水危重：01 11 02 04 06 101 106 10</w:t>
      </w:r>
    </w:p>
    <w:p>
      <w:r>
        <w:t>TURP术后：01 11 02 05 09 102 10</w:t>
      </w:r>
    </w:p>
    <w:p>
      <w:r>
        <w:t>肾肿瘤术前讨论：01 11 02 04 05 103 10</w:t>
      </w:r>
    </w:p>
    <w:p>
      <w:r>
        <w:t>膀胱病理主任查房：01 11 02 04 08 104 10</w:t>
      </w:r>
    </w:p>
    <w:p>
      <w:r>
        <w:t>前列腺穿刺病理：01 11 04 105 10</w:t>
      </w:r>
    </w:p>
    <w:p>
      <w:r>
        <w:t>尿源性脓毒症抢救：01 11 02 04 06 106 10</w:t>
      </w:r>
    </w:p>
    <w:p>
      <w:r>
        <w:t>神经源性膀胱主任查房：01 11 02 03 04 08 107 10</w:t>
      </w:r>
    </w:p>
    <w:p>
      <w:r>
        <w:t>睾丸扭转术后：01 11 02 05 08 108 10</w:t>
      </w:r>
    </w:p>
    <w:p>
      <w:pPr>
        <w:pStyle w:val="Heading1"/>
      </w:pPr>
      <w:r>
        <w:t>输入与使用方法</w:t>
      </w:r>
    </w:p>
    <w:p>
      <w:r>
        <w:t>向具备文件读取能力的AI提供00和患者本次资料；无检索能力时手动提供01、11、10及任务相关模块。推荐输入：可靠患者与住院标识、真实日期和文书类型、当次病史查体、报告原文与日期、实际操作、各管道及医嘱执行、真实查房意见、新增或纠正事实。每次新会话重新提供状态，禁止假设已记忆旧患者。</w:t>
      </w:r>
    </w:p>
    <w:p>
      <w:pPr>
        <w:pStyle w:val="Heading1"/>
      </w:pPr>
      <w:r>
        <w:t>既有系统读取与迁移记录</w:t>
      </w:r>
    </w:p>
    <w:p>
      <w:r>
        <w:t>本轮核对工作空间中骨科V2.0的00、01、11正文及索引、既有20份文档结构；此前提取过20份骨科文档正文。迁移事实绑定、计划/执行、证据分级、最小调用及终审机制。泌尿内容按器官、结石、内镜、肿瘤、尿流与儿童等重新编写；骨科的负重、内固定等知识未移植为泌尿规则。原文件位置：桌面/文件/十科室病历Skill交付/skills/write-orthopedic-medical-records/assets。</w:t>
      </w:r>
    </w:p>
    <w:p>
      <w:pPr>
        <w:pStyle w:val="Heading1"/>
      </w:pPr>
      <w:r>
        <w:t>建设清单与指南核验结果</w:t>
      </w:r>
    </w:p>
    <w:p>
      <w:r>
        <w:t>本版包含39类基础文书、44类检查分析、43类操作的16阶段模板、38类异常、21个查房场景和40个主要专病分支。40例虚构输入、候选输出及静态回归结果见10。每个分支使用33节统一结构，实际填入仍须核实患者资料。</w:t>
      </w:r>
    </w:p>
    <w:p>
      <w:pPr>
        <w:pStyle w:val="Heading1"/>
      </w:pPr>
      <w:r>
        <w:t>规范及指南登记</w:t>
      </w:r>
    </w:p>
    <w:p>
      <w:r>
        <w:t>[R01] 病历书写基本规范｜卫生部｜2010｜适用：中国医疗机构｜核验：官方发布与文书要求。</w:t>
      </w:r>
    </w:p>
    <w:p>
      <w:r>
        <w:t>https://www.nhc.gov.cn/wjw/c100175/201002/b1bec53d90f243e0861529723f00221a.shtml</w:t>
      </w:r>
    </w:p>
    <w:p>
      <w:r>
        <w:t>[R02] 医疗质量安全核心制度要点｜国家卫生健康委｜2018｜适用：中国医疗机构｜核验：官方制度及适用范围。</w:t>
      </w:r>
    </w:p>
    <w:p>
      <w:r>
        <w:t>https://www.nhc.gov.cn/yzygj/c100068/201804/42ab2552298047679cd6ec733f233862.shtml</w:t>
      </w:r>
    </w:p>
    <w:p>
      <w:r>
        <w:t>[R03] 电子病历应用管理规范 试行｜国家卫生计生委等｜2017｜适用：实施电子病历的机构｜核验：公报正文与身份权限管理。</w:t>
      </w:r>
    </w:p>
    <w:p>
      <w:r>
        <w:t>https://www.nhc.gov.cn/ewebeditor/uploadfile/2017/07/20170711102129596.pdf</w:t>
      </w:r>
    </w:p>
    <w:p>
      <w:r>
        <w:t>[R04] 进一步加强医疗机构电子病历信息使用管理的通知｜国家卫生健康委等｜2025｜适用：中国医疗机构｜核验：权限及使用管理。</w:t>
      </w:r>
    </w:p>
    <w:p>
      <w:r>
        <w:t>https://www.nhc.gov.cn/yzygj/c100068/202506/c68abee7c54b4651a774cd533761780b.shtml</w:t>
      </w:r>
    </w:p>
    <w:p>
      <w:r>
        <w:t>[R05] 抗菌药物临床应用指导原则｜国家卫生计生委等｜2015｜适用：中国临床抗菌药物应用｜核验：官方全文；处方仍须结合现行说明书和院内耐药资料。</w:t>
      </w:r>
    </w:p>
    <w:p>
      <w:r>
        <w:t>https://www.nhc.gov.cn/ewebeditor/uploadfile/2015/09/20150928170007470.pdf</w:t>
      </w:r>
    </w:p>
    <w:p>
      <w:r>
        <w:t>[R06] 肾癌 膀胱癌 前列腺癌诊疗指南｜国家卫生健康委｜2022｜适用：中国相应肿瘤患者｜核验：官方发布；未将2022称为2026最新版。</w:t>
      </w:r>
    </w:p>
    <w:p>
      <w:r>
        <w:t>https://www.nhc.gov.cn/yzygj/c100068/202204/0c1f7d3aca0545abbeb02030ce255930.shtml</w:t>
      </w:r>
    </w:p>
    <w:p>
      <w:r>
        <w:t>[R07] EAU Urolithiasis｜EAU｜2026｜适用：泌尿系结石；儿童内容须结合儿童章｜核验：结石定位及感染性梗阻急症边界。</w:t>
      </w:r>
    </w:p>
    <w:p>
      <w:r>
        <w:t>https://uroweb.org/guidelines/urolithiasis/chapter/guidelines</w:t>
      </w:r>
    </w:p>
    <w:p>
      <w:r>
        <w:t>[R08] EAU Urological Infections｜EAU｜2026｜适用：泌尿系统感染人群｜核验：局限/系统感染与危险因素框架。</w:t>
      </w:r>
    </w:p>
    <w:p>
      <w:r>
        <w:t>https://uroweb.org/guidelines/urological-infections/chapter/the-guideline</w:t>
      </w:r>
    </w:p>
    <w:p>
      <w:r>
        <w:t>[R09] EAU Non-neurogenic Male LUTS｜EAU｜2026｜适用：非神经源性男性LUTS｜核验：症状 体检及功能测量的诊断角色。</w:t>
      </w:r>
    </w:p>
    <w:p>
      <w:r>
        <w:t>https://uroweb.org/guidelines/management-of-non-neurogenic-male-luts/chapter/diagnostic-evaluation</w:t>
      </w:r>
    </w:p>
    <w:p>
      <w:r>
        <w:t>[R10] EAU Renal Cell Carcinoma｜EAU｜2026｜适用：肾占位及肾细胞癌｜核验：影像与诊断评价。</w:t>
      </w:r>
    </w:p>
    <w:p>
      <w:r>
        <w:t>https://uroweb.org/guidelines/renal-cell-carcinoma/chapter/diagnostic-evaluation</w:t>
      </w:r>
    </w:p>
    <w:p>
      <w:r>
        <w:t>[R11] EAU Upper Urinary Tract Urothelial Cell Carcinoma｜EAU｜2026｜适用：上尿路尿路上皮癌｜核验：影像 内镜与病理证据边界。</w:t>
      </w:r>
    </w:p>
    <w:p>
      <w:r>
        <w:t>https://uroweb.org/guidelines/upper-urinary-tract-urothelial-cell-carcinoma/chapter/diagnosis</w:t>
      </w:r>
    </w:p>
    <w:p>
      <w:r>
        <w:t>[R12] EAU Non-muscle-invasive Bladder Cancer｜EAU｜2026｜适用：非肌层浸润性膀胱癌｜核验：病理取材与逼尿肌信息。</w:t>
      </w:r>
    </w:p>
    <w:p>
      <w:r>
        <w:t>https://uroweb.org/guidelines/non-muscle-invasive-bladder-cancer/chapter/diagnosis</w:t>
      </w:r>
    </w:p>
    <w:p>
      <w:r>
        <w:t>[R13] EAU Muscle-invasive and Metastatic Bladder Cancer｜EAU｜2026｜适用：肌层浸润及转移膀胱癌｜核验：多学科及治疗阶段边界。</w:t>
      </w:r>
    </w:p>
    <w:p>
      <w:r>
        <w:t>https://uroweb.org/guidelines/muscle-invasive-and-metastatic-bladder-cancer/chapter/disease-management</w:t>
      </w:r>
    </w:p>
    <w:p>
      <w:r>
        <w:t>[R14] EAU Prostate Cancer｜EAU｜2026｜适用：前列腺癌诊断评价｜核验：PSA MRI与穿刺病理证据区别。</w:t>
      </w:r>
    </w:p>
    <w:p>
      <w:r>
        <w:t>https://uroweb.org/guidelines/prostate-cancer/chapter/diagnostic-evaluation</w:t>
      </w:r>
    </w:p>
    <w:p>
      <w:r>
        <w:t>[R15] Microhematuria AUA SUFU Guideline Amendment｜AUA/SUFU｜2025修订｜适用：成人镜下血尿｜核验：正式版本；采用风险评估框架，不代替个体检查决策。</w:t>
      </w:r>
    </w:p>
    <w:p>
      <w:r>
        <w:t>https://www.auanet.org/documents/Guidelines/PDF/2025%20Guidelines/MH%20Unabridged%2002.2025FINAL.pdf</w:t>
      </w:r>
    </w:p>
    <w:p>
      <w:r>
        <w:t>[R16] EAU Neuro-urology｜EAU｜2026｜适用：神经源性下尿路功能障碍｜核验：神经病变与功能评价关系。</w:t>
      </w:r>
    </w:p>
    <w:p>
      <w:r>
        <w:t>https://uroweb.org/guidelines/neuro-urology/chapter/the-guideline</w:t>
      </w:r>
    </w:p>
    <w:p>
      <w:r>
        <w:t>[R17] EAU Non-neurogenic Female LUTS｜EAU｜2026｜适用：非神经源性女性LUTS｜核验：症状分类及转诊问题。</w:t>
      </w:r>
    </w:p>
    <w:p>
      <w:r>
        <w:t>https://uroweb.org/guidelines/non-neurogenic-female-luts/chapter/diagnosis</w:t>
      </w:r>
    </w:p>
    <w:p>
      <w:r>
        <w:t>[R18] EAU Urethral Strictures｜EAU｜2026｜适用：尿道狭窄｜核验：病史 造影 内镜与功能检查。</w:t>
      </w:r>
    </w:p>
    <w:p>
      <w:r>
        <w:t>https://uroweb.org/guidelines/urethral-strictures/chapter/diagnostic-evaluation</w:t>
      </w:r>
    </w:p>
    <w:p>
      <w:r>
        <w:t>[R19] EAU Urological Trauma｜EAU｜2026｜适用：泌尿生殖系创伤｜核验：器官损伤及评估框架。</w:t>
      </w:r>
    </w:p>
    <w:p>
      <w:r>
        <w:t>https://uroweb.org/guidelines/urological-trauma/chapter/urogenital-trauma-guidelines</w:t>
      </w:r>
    </w:p>
    <w:p>
      <w:r>
        <w:t>[R20] EAU Paediatric Urology｜EAU｜2026｜适用：儿童泌尿系统疾病｜核验：分疾病章节；儿童专属评价。</w:t>
      </w:r>
    </w:p>
    <w:p>
      <w:r>
        <w:t>https://uroweb.org/guidelines/paediatric-urology/chapter/the-guideline</w:t>
      </w:r>
    </w:p>
    <w:p>
      <w:r>
        <w:t>[R21] EAU Sexual and Reproductive Health｜EAU｜2026｜适用：成人男性性与生殖健康｜核验：版本目录及专病入口。</w:t>
      </w:r>
    </w:p>
    <w:p>
      <w:r>
        <w:t>https://uroweb.org/guidelines/sexual-and-reproductive-health</w:t>
      </w:r>
    </w:p>
    <w:p>
      <w:r>
        <w:t>[R22] CUA指南及疾病共识目录｜中华医学会泌尿外科学分会｜官网检索日期2026-10-29｜适用：中国泌尿外科｜核验：仅目录可核；未取得全部新版全文，不据此补具体推荐或等级。</w:t>
      </w:r>
    </w:p>
    <w:p>
      <w:r>
        <w:t>https://cua.cma.org.cn/col/col3888/index.html</w:t>
      </w:r>
    </w:p>
    <w:p>
      <w:r>
        <w:t>国内CUA目录未能证明所有专病最新全文已取得；本库不把目录当具体推荐，不宣称穷尽全部现行国内共识。TNM与病理体系按原始报告及临床采用版本保存，本库不自动分期。VTE、输血、营养和麻醉采用院内有效规范及实际会诊，不补造推荐等级或固定阈值。</w:t>
      </w:r>
    </w:p>
    <w:p>
      <w:pPr>
        <w:pStyle w:val="Heading1"/>
      </w:pPr>
      <w:r>
        <w:t>虚构病例及输出示例</w:t>
      </w:r>
    </w:p>
    <w:p>
      <w:r>
        <w:t>以下为虚构模拟资料，只演示文书规则。虚构U001，右输尿管结石，仅拟行操作。</w:t>
      </w:r>
    </w:p>
    <w:p>
      <w:pPr>
        <w:keepNext/>
      </w:pPr>
      <w:r>
        <w:t>2026年10月29日 16:00 日常病程记录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患者右输尿管结石，目前拟行进一步治疗，现有资料未证实操作已经实施。拟核实相关检查及术前准备后，由主管医师进一步确认方案。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常见错误与最终核对</w:t>
      </w:r>
    </w:p>
    <w:p>
      <w:r>
        <w:t>核对身份、本次住院、侧别及精确部位、诊断证据、操作及术后计日、装置、尿量与肾功能、检验影像病理时间、药物执行、并发症、真实医师意见、出院衔接及代码框。禁止将计划写为完成，将旧查体写成当次，将未知写为阴性，将冲洗排出量直接写为尿量。严重冲突须在框外列来源和核实项目。</w:t>
      </w:r>
    </w:p>
    <w:p>
      <w:pPr>
        <w:pStyle w:val="Heading1"/>
      </w:pPr>
      <w:r>
        <w:t>模块协同</w:t>
      </w:r>
    </w:p>
    <w:p>
      <w:r>
        <w:t>01设定约束，11维护事实和状态；02提供文书形式，03实查与功能，04报告与分析，05实际操作，06异常急变，07医嘱执行，08真实查房，09装置康复及随访；专病101—108补充分支；10最终审查。最小充分调用，避免加载无关模块产生事实污染。</w:t>
      </w:r>
    </w:p>
    <w:p>
      <w:pPr>
        <w:pStyle w:val="Heading1"/>
      </w:pPr>
      <w:r>
        <w:t>指南与证据维护</w:t>
      </w:r>
    </w:p>
    <w:p>
      <w:r>
        <w:t>核验日期2026年10月29日。下列资料用于文书与诊断分析框架，未复制整部指南。国际建议须结合中国规范、药品批准范围、资源及院内制度；不凭本库生成固定处方、剂量或未经医师确认的随访时间。核验范围逐项列明。</w:t>
      </w:r>
    </w:p>
    <w:p>
      <w:r>
        <w:t>[R01] 病历书写基本规范。卫生部，2010；适用：中国医疗机构。核验范围：官方发布与文书要求。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医疗质量安全核心制度要点。国家卫生健康委，2018；适用：中国医疗机构。核验范围：官方制度及适用范围。</w:t>
      </w:r>
    </w:p>
    <w:p>
      <w:r>
        <w:t>https://www.nhc.gov.cn/yzygj/c100068/201804/42ab2552298047679cd6ec733f233862.shtml</w:t>
      </w:r>
    </w:p>
    <w:p>
      <w:r>
        <w:t>[R03] 电子病历应用管理规范 试行。国家卫生计生委等，2017；适用：实施电子病历的机构。核验范围：公报正文与身份权限管理。</w:t>
      </w:r>
    </w:p>
    <w:p>
      <w:r>
        <w:t>https://www.nhc.gov.cn/ewebeditor/uploadfile/2017/07/20170711102129596.pdf</w:t>
      </w:r>
    </w:p>
    <w:p>
      <w:r>
        <w:t>[R04] 进一步加强医疗机构电子病历信息使用管理的通知。国家卫生健康委等，2025；适用：中国医疗机构。核验范围：权限及使用管理。</w:t>
      </w:r>
    </w:p>
    <w:p>
      <w:r>
        <w:t>https://www.nhc.gov.cn/yzygj/c100068/202506/c68abee7c54b4651a774cd533761780b.shtml</w:t>
      </w:r>
    </w:p>
    <w:p>
      <w:r>
        <w:t>维护：至少季度复核版本；新指南、说明书、分期或院内制度变化时修订受影响分支并重跑10中的模拟场景。保留版本、修订人、依据与生效日期。临床医师审核和院内试用独立于规则级模拟。</w:t>
      </w:r>
    </w:p>
    <w:p>
      <w:pPr>
        <w:pStyle w:val="Heading1"/>
      </w:pPr>
      <w:r>
        <w:t>补充版本核验与应用边界</w:t>
      </w:r>
    </w:p>
    <w:p>
      <w:r>
        <w:t>[S01] UICC TNM第9版版本管理。UICC，2025发布，建议2026年1月1日起生效；适用于恶性肿瘤分期版本管理。核验日期2026年10月29日；官方发布与生效建议已核验，未据此补齐患者分期。</w:t>
        <w:br/>
        <w:t>https://www.uicc.org/resources/tnm/publications-resources</w:t>
      </w:r>
    </w:p>
    <w:p>
      <w:r>
        <w:t>明确保存医院采用版次；旧报告按其原体系保留。院内执行版本与报告不同，须由临床及病理核实，禁止自动映射或改写分期。</w:t>
      </w:r>
    </w:p>
    <w:p>
      <w:r>
        <w:t>[S02] 临床用血技术规范 2025年版。国家卫生健康委，2025；中国医疗机构临床用血。核验日期2026年10月29日；正式发布与全流程管理范围已核验。</w:t>
        <w:br/>
        <w:t>https://www.nhc.gov.cn/ylyjs/zcwj/202512/1f0e99982b49476b9b076ee10ef9ca75.shtml</w:t>
      </w:r>
    </w:p>
    <w:p>
      <w:r>
        <w:t>输血前评估、告知、申请、实施及输血后评价分别据实记录，不能由血红蛋白下降推断已输血。</w:t>
      </w:r>
    </w:p>
    <w:p>
      <w:r>
        <w:t>[S03] ESPEN clinical nutrition in surgery Update 2025。ESPEN，2025；外科临床营养，国际补充。核验日期2026年10月29日；正式版本与适用范围已核验。</w:t>
        <w:br/>
        <w:t>https://www.espen.org/files/ESPEN-guideline-on-clinical-nutrition-in-surgery-Update-2025.pdf</w:t>
      </w:r>
    </w:p>
    <w:p>
      <w:r>
        <w:t>营养风险、摄入耐受、实际方案和执行分开记录；剂量和途径由医师结合本地制度确认。</w:t>
      </w:r>
    </w:p>
    <w:p>
      <w:r>
        <w:t>[S04] European peri-operative VTE prophylaxis Chapter 12 Urology。ESAIC，2024；泌尿外科围术期血栓预防，国际补充。核验日期2026年10月29日；原始发表及学会图示已核验。</w:t>
        <w:br/>
        <w:t>https://doi.org/10.1097/EJA.0000000000002012</w:t>
      </w:r>
    </w:p>
    <w:p>
      <w:r>
        <w:t>结合手术类型、入路、清扫范围与患者出血/血栓风险评估，不能机械给所有泌尿患者同一预防方案。</w:t>
      </w:r>
    </w:p>
    <w:p>
      <w:r>
        <w:t>[S05] EAU Thromboprophylaxis归档状态。EAU；历史指南目录。核验日期2026年10月29日；官方页面说明为2017—2022归档。</w:t>
        <w:br/>
        <w:t>https://nl.patients.uroweb.org/eau-guidelines/discontinued-topics/thromboprophylaxis</w:t>
      </w:r>
    </w:p>
    <w:p>
      <w:r>
        <w:t>历史EAU血栓预防文档不能标注为EAU 2026新版。</w:t>
      </w:r>
    </w:p>
    <w:p>
      <w:r>
        <w:t>[S06] ESAIC成人择期非心脏手术术前评估指南目录。ESAIC，2024年11月；成人择期非心脏手术。核验日期2026年10月29日；官方目录与人群范围已核验，未复述具体推荐。</w:t>
        <w:br/>
        <w:t>https://esaic.org/guidelines/</w:t>
      </w:r>
    </w:p>
    <w:p>
      <w:r>
        <w:t>麻醉风险由实际麻醉评估记录；该成人择期人群不直接套儿童和急诊。</w:t>
      </w:r>
    </w:p>
    <w:sectPr w:rsidR="00FC693F" w:rsidRPr="0006063C" w:rsidSect="00034616">
      <w:footerReference w:type="default" r:id="rId9"/>
      <w:pgSz w:w="11906" w:h="16838"/>
      <w:pgMar w:top="1134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泌尿外科 V1.0  |  </w:t>
    </w:r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Cache">
    <w:name w:val="TOC Cache"/>
    <w:basedOn w:val="Normal"/>
    <w:pPr>
      <w:spacing w:after="4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00_泌尿外科AI病历系统总入口与模块调用索引</dc:title>
  <dc:subject/>
  <dc:creator>泌尿外科医学文书模板库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