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泌尿外科专科检查排尿功能与尿路评估模板库</w:t>
      </w:r>
    </w:p>
    <w:p>
      <w:r>
        <w:t>V1.0  2026年10月29日  第二级 通用功能层</w:t>
      </w:r>
    </w:p>
    <w:p>
      <w:r>
        <w:t>本库用于中国医院泌尿外科医师审核前的医学文书辅助。临床判断、实际操作、医嘱授权、知情沟通和签名由具备权限的医务人员完成。Word库定义调用与状态规则；实际调用取决于AI可访问文件及当前输入，不宣称已连接医院系统或具备可靠跨会话记忆。</w:t>
      </w:r>
    </w:p>
    <w:p>
      <w:r>
        <w:t>模块职责：泌尿外科专科检查排尿功能与尿路评估模板库。使用时先核对患者及本次住院，再按任务加载；任何正式文书须经10终审和医师审核。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TOCCache"/>
        <w:tabs>
          <w:tab w:pos="9354" w:val="right" w:leader="dot"/>
        </w:tabs>
      </w:pPr>
      <w:r>
        <w:fldChar w:fldCharType="begin"/>
      </w:r>
      <w:r>
        <w:instrText> TOC \o "1-1" \h \z \u </w:instrText>
      </w:r>
      <w:r>
        <w:fldChar w:fldCharType="separate"/>
      </w:r>
      <w:r>
        <w:t>适用场景与调用条件</w:t>
        <w:tab/>
        <w:t>3</w:t>
      </w:r>
    </w:p>
    <w:p>
      <w:pPr>
        <w:pStyle w:val="TOCCache"/>
        <w:tabs>
          <w:tab w:pos="9354" w:val="right" w:leader="dot"/>
        </w:tabs>
      </w:pPr>
      <w:r>
        <w:t>输入资料与事实限制</w:t>
        <w:tab/>
        <w:t>3</w:t>
      </w:r>
    </w:p>
    <w:p>
      <w:pPr>
        <w:pStyle w:val="TOCCache"/>
        <w:tabs>
          <w:tab w:pos="9354" w:val="right" w:leader="dot"/>
        </w:tabs>
      </w:pPr>
      <w:r>
        <w:t>文书输出协议</w:t>
        <w:tab/>
        <w:t>3</w:t>
      </w:r>
    </w:p>
    <w:p>
      <w:pPr>
        <w:pStyle w:val="TOCCache"/>
        <w:tabs>
          <w:tab w:pos="9354" w:val="right" w:leader="dot"/>
        </w:tabs>
      </w:pPr>
      <w:r>
        <w:t>症状采集与判读</w:t>
        <w:tab/>
        <w:t>3</w:t>
      </w:r>
    </w:p>
    <w:p>
      <w:pPr>
        <w:pStyle w:val="TOCCache"/>
        <w:tabs>
          <w:tab w:pos="9354" w:val="right" w:leader="dot"/>
        </w:tabs>
      </w:pPr>
      <w:r>
        <w:t>专科体格检查</w:t>
        <w:tab/>
        <w:t>8</w:t>
      </w:r>
    </w:p>
    <w:p>
      <w:pPr>
        <w:pStyle w:val="TOCCache"/>
        <w:tabs>
          <w:tab w:pos="9354" w:val="right" w:leader="dot"/>
        </w:tabs>
      </w:pPr>
      <w:r>
        <w:t>功能和量表</w:t>
        <w:tab/>
        <w:t>10</w:t>
      </w:r>
    </w:p>
    <w:p>
      <w:pPr>
        <w:pStyle w:val="TOCCache"/>
        <w:tabs>
          <w:tab w:pos="9354" w:val="right" w:leader="dot"/>
        </w:tabs>
      </w:pPr>
      <w:r>
        <w:t>虚构病例及输出示例</w:t>
        <w:tab/>
        <w:t>10</w:t>
      </w:r>
    </w:p>
    <w:p>
      <w:pPr>
        <w:pStyle w:val="TOCCache"/>
        <w:tabs>
          <w:tab w:pos="9354" w:val="right" w:leader="dot"/>
        </w:tabs>
      </w:pPr>
      <w:r>
        <w:t>常见错误与最终核对</w:t>
        <w:tab/>
        <w:t>11</w:t>
      </w:r>
    </w:p>
    <w:p>
      <w:pPr>
        <w:pStyle w:val="TOCCache"/>
        <w:tabs>
          <w:tab w:pos="9354" w:val="right" w:leader="dot"/>
        </w:tabs>
      </w:pPr>
      <w:r>
        <w:t>模块协同</w:t>
        <w:tab/>
        <w:t>11</w:t>
      </w:r>
    </w:p>
    <w:p>
      <w:pPr>
        <w:pStyle w:val="TOCCache"/>
        <w:tabs>
          <w:tab w:pos="9354" w:val="right" w:leader="dot"/>
        </w:tabs>
      </w:pPr>
      <w:r>
        <w:t>指南与证据维护</w:t>
        <w:tab/>
        <w:t>11</w:t>
      </w:r>
      <w:r>
        <w:fldChar w:fldCharType="end"/>
      </w:r>
    </w:p>
    <w:p w:rsidR="00000001">
      <w:pPr>
        <w:spacing w:after="0"/>
      </w:pPr>
      <w:r>
        <w:rPr>
          <w:vanish/>
        </w:rPr>
        <w:t>更新目录后显示页码</w:t>
      </w:r>
    </w:p>
    <w:p>
      <w:r>
        <w:br w:type="page"/>
      </w:r>
    </w:p>
    <w:p>
      <w:pPr>
        <w:pStyle w:val="Heading1"/>
      </w:pPr>
      <w:r>
        <w:t>适用场景与调用条件</w:t>
      </w:r>
    </w:p>
    <w:p>
      <w:r>
        <w:t>适用于本模块涉及的住院评估、连续病程、围手术期和出院随访。由00识别任务，11读取状态，强制01真实性约束；存在急变时优先06，最终10审查。新结果、手术、管道或医嘱状态变化触发重新核对。</w:t>
      </w:r>
    </w:p>
    <w:p>
      <w:pPr>
        <w:pStyle w:val="Heading1"/>
      </w:pPr>
      <w:r>
        <w:t>输入资料与事实限制</w:t>
      </w:r>
    </w:p>
    <w:p>
      <w:r>
        <w:t>每条事实绑定患者、本次住院、病灶、检查或操作事件、发生时间、记录时间、来源及核验状态。未知不等于阴性，未记录不等于未发生，知识不等于患者事实。当前事实、历史事实、建议、拟定方案、已开医嘱、实际执行、暂停、停止和取消分开。仅有申请不写已完成，仅有计划不写已实施。</w:t>
      </w:r>
    </w:p>
    <w:p>
      <w:r>
        <w:t>必需：可靠患者标识及本次住院、文书类型和真实记录时间；相关病史、当次实查、检查原文、每次实际手术和装置事件、医嘱执行、真实上级意见。姓名或床号不可单独作为唯一身份依据。</w:t>
      </w:r>
    </w:p>
    <w:p>
      <w:pPr>
        <w:pStyle w:val="Heading1"/>
      </w:pPr>
      <w:r>
        <w:t>文书输出协议</w:t>
      </w:r>
    </w:p>
    <w:p>
      <w:r>
        <w:t>日期时间、文书标题、实际查房医师姓名及职称放在代码框外；框内只放正式正文，使用Markdown text代码框。日常病程、术后日常和三级查房必须连续一整段，无空行、不分条；入院、首次病程、术前小结、讨论、手术、抢救及出院记录保留必要栏目。题头日期不在框内重复，抢救等事件时间仍需记录。正式输出不得出现【】占位符、AI说明、未实施的查体、虚构的医师意见或代签名。关键缺项在框外列待核实事项；严重冲突时停止净稿。</w:t>
      </w:r>
    </w:p>
    <w:p>
      <w:r>
        <w:t>以下【】仅为可填模板字段；填入时只能使用已核实资料，非必要缺项删除整句，关键缺项阻断净稿。虚构病例仅用于规则测试，不进入患者状态。</w:t>
      </w:r>
    </w:p>
    <w:p>
      <w:pPr>
        <w:pStyle w:val="Heading1"/>
      </w:pPr>
      <w:r>
        <w:t>症状采集与判读</w:t>
      </w:r>
    </w:p>
    <w:p>
      <w:pPr>
        <w:pStyle w:val="Heading2"/>
      </w:pPr>
      <w:r>
        <w:t>尿频</w:t>
      </w:r>
    </w:p>
    <w:p>
      <w:r>
        <w:t>询问与记录：日间次数、持续时间、每次量、饮水与药物。判读边界：频次多不等于多尿或OAB。</w:t>
      </w:r>
    </w:p>
    <w:p>
      <w:pPr>
        <w:keepNext/>
      </w:pPr>
      <w:r>
        <w:t>【记录日期时间】 尿频症状记录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患者诉【日间次数、持续时间、每次量、饮水与药物的实际情况】，与既往相比【真实变化】；相关伴随症状【仅已询问内容】。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尿急</w:t>
      </w:r>
    </w:p>
    <w:p>
      <w:r>
        <w:t>询问与记录：突然强烈尿意、能否延迟及漏尿关系。判读边界：急迫感不直接等于逼尿肌过度活动。</w:t>
      </w:r>
    </w:p>
    <w:p>
      <w:pPr>
        <w:keepNext/>
      </w:pPr>
      <w:r>
        <w:t>【记录日期时间】 尿急症状记录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患者诉【突然强烈尿意、能否延迟及漏尿关系的实际情况】，与既往相比【真实变化】；相关伴随症状【仅已询问内容】。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尿痛</w:t>
      </w:r>
    </w:p>
    <w:p>
      <w:r>
        <w:t>询问与记录：疼痛部位及排尿阶段、发热与暴露。判读边界：症状本身不能确定菌种。</w:t>
      </w:r>
    </w:p>
    <w:p>
      <w:pPr>
        <w:keepNext/>
      </w:pPr>
      <w:r>
        <w:t>【记录日期时间】 尿痛症状记录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患者诉【疼痛部位及排尿阶段、发热与暴露的实际情况】，与既往相比【真实变化】；相关伴随症状【仅已询问内容】。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夜尿</w:t>
      </w:r>
    </w:p>
    <w:p>
      <w:r>
        <w:t>询问与记录：夜间起床次数、睡眠及饮水、夜间尿量。判读边界：不由夜尿直接诊断前列腺梗阻。</w:t>
      </w:r>
    </w:p>
    <w:p>
      <w:pPr>
        <w:keepNext/>
      </w:pPr>
      <w:r>
        <w:t>【记录日期时间】 夜尿症状记录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患者诉【夜间起床次数、睡眠及饮水、夜间尿量的实际情况】，与既往相比【真实变化】；相关伴随症状【仅已询问内容】。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排尿等待</w:t>
      </w:r>
    </w:p>
    <w:p>
      <w:r>
        <w:t>询问与记录：开始排尿等待及诱因。判读边界：不自动确定机械梗阻。</w:t>
      </w:r>
    </w:p>
    <w:p>
      <w:pPr>
        <w:keepNext/>
      </w:pPr>
      <w:r>
        <w:t>【记录日期时间】 排尿等待症状记录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患者诉【开始排尿等待及诱因的实际情况】，与既往相比【真实变化】；相关伴随症状【仅已询问内容】。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尿线变细</w:t>
      </w:r>
    </w:p>
    <w:p>
      <w:r>
        <w:t>询问与记录：尿线及持续变化、既往操作。判读边界：需鉴别狭窄与其他功能问题。</w:t>
      </w:r>
    </w:p>
    <w:p>
      <w:pPr>
        <w:keepNext/>
      </w:pPr>
      <w:r>
        <w:t>【记录日期时间】 尿线变细症状记录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患者诉【尿线及持续变化、既往操作的实际情况】，与既往相比【真实变化】；相关伴随症状【仅已询问内容】。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尿流中断</w:t>
      </w:r>
    </w:p>
    <w:p>
      <w:r>
        <w:t>询问与记录：发生时点、姿势和疼痛。判读边界：不能仅此确诊膀胱结石。</w:t>
      </w:r>
    </w:p>
    <w:p>
      <w:pPr>
        <w:keepNext/>
      </w:pPr>
      <w:r>
        <w:t>【记录日期时间】 尿流中断症状记录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患者诉【发生时点、姿势和疼痛的实际情况】，与既往相比【真实变化】；相关伴随症状【仅已询问内容】。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排尿费力</w:t>
      </w:r>
    </w:p>
    <w:p>
      <w:r>
        <w:t>询问与记录：腹压、时程及排空。判读边界：不能推断逼尿肌压力。</w:t>
      </w:r>
    </w:p>
    <w:p>
      <w:pPr>
        <w:keepNext/>
      </w:pPr>
      <w:r>
        <w:t>【记录日期时间】 排尿费力症状记录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患者诉【腹压、时程及排空的实际情况】，与既往相比【真实变化】；相关伴随症状【仅已询问内容】。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排尿不尽感</w:t>
      </w:r>
    </w:p>
    <w:p>
      <w:r>
        <w:t>询问与记录：主观感觉及真实PVR。判读边界：主观感觉不等于客观残余尿。</w:t>
      </w:r>
    </w:p>
    <w:p>
      <w:pPr>
        <w:keepNext/>
      </w:pPr>
      <w:r>
        <w:t>【记录日期时间】 排尿不尽感症状记录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患者诉【主观感觉及真实PVR的实际情况】，与既往相比【真实变化】；相关伴随症状【仅已询问内容】。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尿潴留</w:t>
      </w:r>
    </w:p>
    <w:p>
      <w:r>
        <w:t>询问与记录：起始、排尿量、膀胱及引流。判读边界：少尿与排空失败要区分。</w:t>
      </w:r>
    </w:p>
    <w:p>
      <w:pPr>
        <w:keepNext/>
      </w:pPr>
      <w:r>
        <w:t>【记录日期时间】 尿潴留症状记录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患者诉【起始、排尿量、膀胱及引流的实际情况】，与既往相比【真实变化】；相关伴随症状【仅已询问内容】。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肉眼血尿</w:t>
      </w:r>
    </w:p>
    <w:p>
      <w:r>
        <w:t>询问与记录：颜色、血块、排尿阶段及抗栓史。判读边界：颜色不确定出血来源或活动性。</w:t>
      </w:r>
    </w:p>
    <w:p>
      <w:pPr>
        <w:keepNext/>
      </w:pPr>
      <w:r>
        <w:t>【记录日期时间】 肉眼血尿症状记录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患者诉【颜色、血块、排尿阶段及抗栓史的实际情况】，与既往相比【真实变化】；相关伴随症状【仅已询问内容】。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镜下血尿</w:t>
      </w:r>
    </w:p>
    <w:p>
      <w:r>
        <w:t>询问与记录：标本、镜检结果及单位。判读边界：试纸阳性不替代镜检结论。</w:t>
      </w:r>
    </w:p>
    <w:p>
      <w:pPr>
        <w:keepNext/>
      </w:pPr>
      <w:r>
        <w:t>【记录日期时间】 镜下血尿症状记录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患者诉【标本、镜检结果及单位的实际情况】，与既往相比【真实变化】；相关伴随症状【仅已询问内容】。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尿失禁</w:t>
      </w:r>
    </w:p>
    <w:p>
      <w:r>
        <w:t>询问与记录：诱因、急迫、持续性、尿垫和困扰。判读边界：区分压力急迫混合溢出及瘘。</w:t>
      </w:r>
    </w:p>
    <w:p>
      <w:pPr>
        <w:keepNext/>
      </w:pPr>
      <w:r>
        <w:t>【记录日期时间】 尿失禁症状记录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患者诉【诱因、急迫、持续性、尿垫和困扰的实际情况】，与既往相比【真实变化】；相关伴随症状【仅已询问内容】。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腰痛肾绞痛</w:t>
      </w:r>
    </w:p>
    <w:p>
      <w:r>
        <w:t>询问与记录：侧别、部位、放射、性质及时间。判读边界：腰痛不足以确诊结石。</w:t>
      </w:r>
    </w:p>
    <w:p>
      <w:pPr>
        <w:keepNext/>
      </w:pPr>
      <w:r>
        <w:t>【记录日期时间】 腰痛肾绞痛症状记录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患者诉【侧别、部位、放射、性质及时间的实际情况】，与既往相比【真实变化】；相关伴随症状【仅已询问内容】。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阴囊疼痛肿胀</w:t>
      </w:r>
    </w:p>
    <w:p>
      <w:r>
        <w:t>询问与记录：起病精确时间、侧别和发热。判读边界：疑扭转立即现场处理。</w:t>
      </w:r>
    </w:p>
    <w:p>
      <w:pPr>
        <w:keepNext/>
      </w:pPr>
      <w:r>
        <w:t>【记录日期时间】 阴囊疼痛肿胀症状记录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患者诉【起病精确时间、侧别和发热的实际情况】，与既往相比【真实变化】；相关伴随症状【仅已询问内容】。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会阴不适</w:t>
      </w:r>
    </w:p>
    <w:p>
      <w:r>
        <w:t>询问与记录：持续时间、排尿生殖相关性。判读边界：不机械确诊细菌性前列腺炎。</w:t>
      </w:r>
    </w:p>
    <w:p>
      <w:pPr>
        <w:keepNext/>
      </w:pPr>
      <w:r>
        <w:t>【记录日期时间】 会阴不适症状记录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患者诉【持续时间、排尿生殖相关性的实际情况】，与既往相比【真实变化】；相关伴随症状【仅已询问内容】。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性功能及生殖症状</w:t>
      </w:r>
    </w:p>
    <w:p>
      <w:r>
        <w:t>询问与记录：实际症状、困扰、既往治疗及生育目标。判读边界：隐私最小记录，量表不得推算。</w:t>
      </w:r>
    </w:p>
    <w:p>
      <w:pPr>
        <w:keepNext/>
      </w:pPr>
      <w:r>
        <w:t>【记录日期时间】 性功能及生殖症状症状记录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患者诉【实际症状、困扰、既往治疗及生育目标的实际情况】，与既往相比【真实变化】；相关伴随症状【仅已询问内容】。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专科体格检查</w:t>
      </w:r>
    </w:p>
    <w:p>
      <w:pPr>
        <w:pStyle w:val="Heading2"/>
      </w:pPr>
      <w:r>
        <w:t>腹部视诊</w:t>
      </w:r>
    </w:p>
    <w:p>
      <w:r>
        <w:t>采集：膨隆、切口及可见异常。仅记录实际实施；敏感部位需尊重隐私与实际沟通，不能把模板变成已完成查体。</w:t>
      </w:r>
    </w:p>
    <w:p>
      <w:r>
        <w:t>正文模板：腹部视诊：【当次真实结果及侧别】。</w:t>
      </w:r>
    </w:p>
    <w:p>
      <w:pPr>
        <w:pStyle w:val="Heading2"/>
      </w:pPr>
      <w:r>
        <w:t>腹部触诊</w:t>
      </w:r>
    </w:p>
    <w:p>
      <w:r>
        <w:t>采集：实际压痛、包块及范围。仅记录实际实施；敏感部位需尊重隐私与实际沟通，不能把模板变成已完成查体。</w:t>
      </w:r>
    </w:p>
    <w:p>
      <w:r>
        <w:t>正文模板：腹部触诊：【当次真实结果及侧别】。</w:t>
      </w:r>
    </w:p>
    <w:p>
      <w:pPr>
        <w:pStyle w:val="Heading2"/>
      </w:pPr>
      <w:r>
        <w:t>腹部叩诊</w:t>
      </w:r>
    </w:p>
    <w:p>
      <w:r>
        <w:t>采集：实际浊音或叩击结果。仅记录实际实施；敏感部位需尊重隐私与实际沟通，不能把模板变成已完成查体。</w:t>
      </w:r>
    </w:p>
    <w:p>
      <w:r>
        <w:t>正文模板：腹部叩诊：【当次真实结果及侧别】。</w:t>
      </w:r>
    </w:p>
    <w:p>
      <w:pPr>
        <w:pStyle w:val="Heading2"/>
      </w:pPr>
      <w:r>
        <w:t>腹部听诊</w:t>
      </w:r>
    </w:p>
    <w:p>
      <w:r>
        <w:t>采集：真实肠鸣等结果。仅记录实际实施；敏感部位需尊重隐私与实际沟通，不能把模板变成已完成查体。</w:t>
      </w:r>
    </w:p>
    <w:p>
      <w:r>
        <w:t>正文模板：腹部听诊：【当次真实结果及侧别】。</w:t>
      </w:r>
    </w:p>
    <w:p>
      <w:pPr>
        <w:pStyle w:val="Heading2"/>
      </w:pPr>
      <w:r>
        <w:t>肾区检查</w:t>
      </w:r>
    </w:p>
    <w:p>
      <w:r>
        <w:t>采集：侧别及局部体征。仅记录实际实施；敏感部位需尊重隐私与实际沟通，不能把模板变成已完成查体。</w:t>
      </w:r>
    </w:p>
    <w:p>
      <w:r>
        <w:t>正文模板：肾区检查：【当次真实结果及侧别】。</w:t>
      </w:r>
    </w:p>
    <w:p>
      <w:pPr>
        <w:pStyle w:val="Heading2"/>
      </w:pPr>
      <w:r>
        <w:t>肋脊角叩击</w:t>
      </w:r>
    </w:p>
    <w:p>
      <w:r>
        <w:t>采集：当次是否实施及结果。仅记录实际实施；敏感部位需尊重隐私与实际沟通，不能把模板变成已完成查体。</w:t>
      </w:r>
    </w:p>
    <w:p>
      <w:r>
        <w:t>正文模板：肋脊角叩击：【当次真实结果及侧别】。</w:t>
      </w:r>
    </w:p>
    <w:p>
      <w:pPr>
        <w:pStyle w:val="Heading2"/>
      </w:pPr>
      <w:r>
        <w:t>耻骨上区</w:t>
      </w:r>
    </w:p>
    <w:p>
      <w:r>
        <w:t>采集：充盈、压痛及真实触诊。仅记录实际实施；敏感部位需尊重隐私与实际沟通，不能把模板变成已完成查体。</w:t>
      </w:r>
    </w:p>
    <w:p>
      <w:r>
        <w:t>正文模板：耻骨上区：【当次真实结果及侧别】。</w:t>
      </w:r>
    </w:p>
    <w:p>
      <w:pPr>
        <w:pStyle w:val="Heading2"/>
      </w:pPr>
      <w:r>
        <w:t>膀胱充盈体征</w:t>
      </w:r>
    </w:p>
    <w:p>
      <w:r>
        <w:t>采集：实际观察与影像区分。仅记录实际实施；敏感部位需尊重隐私与实际沟通，不能把模板变成已完成查体。</w:t>
      </w:r>
    </w:p>
    <w:p>
      <w:r>
        <w:t>正文模板：膀胱充盈体征：【当次真实结果及侧别】。</w:t>
      </w:r>
    </w:p>
    <w:p>
      <w:pPr>
        <w:pStyle w:val="Heading2"/>
      </w:pPr>
      <w:r>
        <w:t>男性外生殖器</w:t>
      </w:r>
    </w:p>
    <w:p>
      <w:r>
        <w:t>采集：经同意的真实形态及病损。仅记录实际实施；敏感部位需尊重隐私与实际沟通，不能把模板变成已完成查体。</w:t>
      </w:r>
    </w:p>
    <w:p>
      <w:r>
        <w:t>正文模板：男性外生殖器：【当次真实结果及侧别】。</w:t>
      </w:r>
    </w:p>
    <w:p>
      <w:pPr>
        <w:pStyle w:val="Heading2"/>
      </w:pPr>
      <w:r>
        <w:t>阴茎尿道口</w:t>
      </w:r>
    </w:p>
    <w:p>
      <w:r>
        <w:t>采集：部位、分泌物及损伤。仅记录实际实施；敏感部位需尊重隐私与实际沟通，不能把模板变成已完成查体。</w:t>
      </w:r>
    </w:p>
    <w:p>
      <w:r>
        <w:t>正文模板：阴茎尿道口：【当次真实结果及侧别】。</w:t>
      </w:r>
    </w:p>
    <w:p>
      <w:pPr>
        <w:pStyle w:val="Heading2"/>
      </w:pPr>
      <w:r>
        <w:t>阴囊睾丸</w:t>
      </w:r>
    </w:p>
    <w:p>
      <w:r>
        <w:t>采集：侧别、位置、体积及压痛。仅记录实际实施；敏感部位需尊重隐私与实际沟通，不能把模板变成已完成查体。</w:t>
      </w:r>
    </w:p>
    <w:p>
      <w:r>
        <w:t>正文模板：阴囊睾丸：【当次真实结果及侧别】。</w:t>
      </w:r>
    </w:p>
    <w:p>
      <w:pPr>
        <w:pStyle w:val="Heading2"/>
      </w:pPr>
      <w:r>
        <w:t>附睾精索</w:t>
      </w:r>
    </w:p>
    <w:p>
      <w:r>
        <w:t>采集：侧别及实际触诊。仅记录实际实施；敏感部位需尊重隐私与实际沟通，不能把模板变成已完成查体。</w:t>
      </w:r>
    </w:p>
    <w:p>
      <w:r>
        <w:t>正文模板：附睾精索：【当次真实结果及侧别】。</w:t>
      </w:r>
    </w:p>
    <w:p>
      <w:pPr>
        <w:pStyle w:val="Heading2"/>
      </w:pPr>
      <w:r>
        <w:t>前列腺直肠指检</w:t>
      </w:r>
    </w:p>
    <w:p>
      <w:r>
        <w:t>采集：是否实施、大小质地压痛或结节。仅记录实际实施；敏感部位需尊重隐私与实际沟通，不能把模板变成已完成查体。</w:t>
      </w:r>
    </w:p>
    <w:p>
      <w:r>
        <w:t>正文模板：前列腺直肠指检：【当次真实结果及侧别】。</w:t>
      </w:r>
    </w:p>
    <w:p>
      <w:pPr>
        <w:pStyle w:val="Heading2"/>
      </w:pPr>
      <w:r>
        <w:t>女性泌尿盆底</w:t>
      </w:r>
    </w:p>
    <w:p>
      <w:r>
        <w:t>采集：经同意实施的检查、体位和结果。仅记录实际实施；敏感部位需尊重隐私与实际沟通，不能把模板变成已完成查体。</w:t>
      </w:r>
    </w:p>
    <w:p>
      <w:r>
        <w:t>正文模板：女性泌尿盆底：【当次真实结果及侧别】。</w:t>
      </w:r>
    </w:p>
    <w:p>
      <w:pPr>
        <w:pStyle w:val="Heading2"/>
      </w:pPr>
      <w:r>
        <w:t>术后切口</w:t>
      </w:r>
    </w:p>
    <w:p>
      <w:r>
        <w:t>采集：部位、敷料、红肿及分泌物。仅记录实际实施；敏感部位需尊重隐私与实际沟通，不能把模板变成已完成查体。</w:t>
      </w:r>
    </w:p>
    <w:p>
      <w:r>
        <w:t>正文模板：术后切口：【当次真实结果及侧别】。</w:t>
      </w:r>
    </w:p>
    <w:p>
      <w:pPr>
        <w:pStyle w:val="Heading2"/>
      </w:pPr>
      <w:r>
        <w:t>导尿及造瘘观察</w:t>
      </w:r>
    </w:p>
    <w:p>
      <w:r>
        <w:t>采集：类型侧别、位置固定、量色及通畅。仅记录实际实施；敏感部位需尊重隐私与实际沟通，不能把模板变成已完成查体。</w:t>
      </w:r>
    </w:p>
    <w:p>
      <w:r>
        <w:t>正文模板：导尿及造瘘观察：【当次真实结果及侧别】。</w:t>
      </w:r>
    </w:p>
    <w:p>
      <w:pPr>
        <w:pStyle w:val="Heading1"/>
      </w:pPr>
      <w:r>
        <w:t>功能和量表</w:t>
      </w:r>
    </w:p>
    <w:p>
      <w:pPr>
        <w:pStyle w:val="Heading2"/>
      </w:pPr>
      <w:r>
        <w:t>IPSS及生活质量</w:t>
      </w:r>
    </w:p>
    <w:p>
      <w:r>
        <w:t>保留实际问卷分项、总分、日期和评估者；只有症状描述时不能反推分值。</w:t>
      </w:r>
    </w:p>
    <w:p>
      <w:pPr>
        <w:pStyle w:val="Heading2"/>
      </w:pPr>
      <w:r>
        <w:t>排尿日记</w:t>
      </w:r>
    </w:p>
    <w:p>
      <w:r>
        <w:t>保留起止日期、饮水、每次排尿量、漏尿、夜间睡眠和完整性；片段记录不当成全天。</w:t>
      </w:r>
    </w:p>
    <w:p>
      <w:pPr>
        <w:pStyle w:val="Heading2"/>
      </w:pPr>
      <w:r>
        <w:t>尿流率和Qmax</w:t>
      </w:r>
    </w:p>
    <w:p>
      <w:r>
        <w:t>记录检查日期、排尿量、Qmax单位及条件；低流率可有不同机制，不能单独确定梗阻。</w:t>
      </w:r>
    </w:p>
    <w:p>
      <w:pPr>
        <w:pStyle w:val="Heading2"/>
      </w:pPr>
      <w:r>
        <w:t>PVR</w:t>
      </w:r>
    </w:p>
    <w:p>
      <w:r>
        <w:t>注明测量方式、排尿后间隔、单位及条件，不把一次结果当恒定状态。</w:t>
      </w:r>
    </w:p>
    <w:p>
      <w:pPr>
        <w:pStyle w:val="Heading2"/>
      </w:pPr>
      <w:r>
        <w:t>尿动力学</w:t>
      </w:r>
    </w:p>
    <w:p>
      <w:r>
        <w:t>记录充盈、储尿和排尿阶段、压力/流率、顺应性及报告结论，保留检查局限；不由症状生成曲线。</w:t>
      </w:r>
    </w:p>
    <w:p>
      <w:pPr>
        <w:pStyle w:val="Heading2"/>
      </w:pPr>
      <w:r>
        <w:t>尿失禁及性功能量表</w:t>
      </w:r>
    </w:p>
    <w:p>
      <w:r>
        <w:t>只有完整真实量表才填分数和分层，采用适用人群及明确版本。</w:t>
      </w:r>
    </w:p>
    <w:p>
      <w:pPr>
        <w:pStyle w:val="Heading1"/>
      </w:pPr>
      <w:r>
        <w:t>虚构病例及输出示例</w:t>
      </w:r>
    </w:p>
    <w:p>
      <w:r>
        <w:t>以下为虚构模拟资料，只演示文书规则。U027；咳嗽漏尿；尿动力未检出逼尿肌过度活动，PVR20mL</w:t>
      </w:r>
    </w:p>
    <w:p>
      <w:pPr>
        <w:keepNext/>
      </w:pPr>
      <w:r>
        <w:t>2026年10月29日 16:00 尿失禁尿动力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患者诉咳嗽时漏尿，尿动力报告未检出逼尿肌过度活动，残余尿20mL。需结合实际压力试验和临床资料评估漏尿类型，症状及尿动力结果分别记录，不能将本次结果改写为逼尿肌过度活动。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常见错误与最终核对</w:t>
      </w:r>
    </w:p>
    <w:p>
      <w:r>
        <w:t>核对身份、本次住院、侧别及精确部位、诊断证据、操作及术后计日、装置、尿量与肾功能、检验影像病理时间、药物执行、并发症、真实医师意见、出院衔接及代码框。禁止将计划写为完成，将旧查体写成当次，将未知写为阴性，将冲洗排出量直接写为尿量。严重冲突须在框外列来源和核实项目。</w:t>
      </w:r>
    </w:p>
    <w:p>
      <w:pPr>
        <w:pStyle w:val="Heading1"/>
      </w:pPr>
      <w:r>
        <w:t>模块协同</w:t>
      </w:r>
    </w:p>
    <w:p>
      <w:r>
        <w:t>01设定约束，11维护事实和状态；02提供文书形式，03实查与功能，04报告与分析，05实际操作，06异常急变，07医嘱执行，08真实查房，09装置康复及随访；专病101—108补充分支；10最终审查。最小充分调用，避免加载无关模块产生事实污染。</w:t>
      </w:r>
    </w:p>
    <w:p>
      <w:pPr>
        <w:pStyle w:val="Heading1"/>
      </w:pPr>
      <w:r>
        <w:t>指南与证据维护</w:t>
      </w:r>
    </w:p>
    <w:p>
      <w:r>
        <w:t>核验日期2026年10月29日。下列资料用于文书与诊断分析框架，未复制整部指南。国际建议须结合中国规范、药品批准范围、资源及院内制度；不凭本库生成固定处方、剂量或未经医师确认的随访时间。核验范围逐项列明。</w:t>
      </w:r>
    </w:p>
    <w:p>
      <w:r>
        <w:t>[R01] 病历书写基本规范。卫生部，2010；适用：中国医疗机构。核验范围：官方发布与文书要求。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医疗质量安全核心制度要点。国家卫生健康委，2018；适用：中国医疗机构。核验范围：官方制度及适用范围。</w:t>
      </w:r>
    </w:p>
    <w:p>
      <w:r>
        <w:t>https://www.nhc.gov.cn/yzygj/c100068/201804/42ab2552298047679cd6ec733f233862.shtml</w:t>
      </w:r>
    </w:p>
    <w:p>
      <w:r>
        <w:t>[R09] EAU Non-neurogenic Male LUTS。EAU，2026；适用：非神经源性男性LUTS。核验范围：症状 体检及功能测量的诊断角色。</w:t>
      </w:r>
    </w:p>
    <w:p>
      <w:r>
        <w:t>https://uroweb.org/guidelines/management-of-non-neurogenic-male-luts/chapter/diagnostic-evaluation</w:t>
      </w:r>
    </w:p>
    <w:p>
      <w:r>
        <w:t>[R15] Microhematuria AUA SUFU Guideline Amendment。AUA/SUFU，2025修订；适用：成人镜下血尿。核验范围：正式版本；采用风险评估框架，不代替个体检查决策。</w:t>
      </w:r>
    </w:p>
    <w:p>
      <w:r>
        <w:t>https://www.auanet.org/documents/Guidelines/PDF/2025%20Guidelines/MH%20Unabridged%2002.2025FINAL.pdf</w:t>
      </w:r>
    </w:p>
    <w:p>
      <w:r>
        <w:t>[R16] EAU Neuro-urology。EAU，2026；适用：神经源性下尿路功能障碍。核验范围：神经病变与功能评价关系。</w:t>
      </w:r>
    </w:p>
    <w:p>
      <w:r>
        <w:t>https://uroweb.org/guidelines/neuro-urology/chapter/the-guideline</w:t>
      </w:r>
    </w:p>
    <w:p>
      <w:r>
        <w:t>[R17] EAU Non-neurogenic Female LUTS。EAU，2026；适用：非神经源性女性LUTS。核验范围：症状分类及转诊问题。</w:t>
      </w:r>
    </w:p>
    <w:p>
      <w:r>
        <w:t>https://uroweb.org/guidelines/non-neurogenic-female-luts/chapter/diagnosis</w:t>
      </w:r>
    </w:p>
    <w:p>
      <w:r>
        <w:t>维护：至少季度复核版本；新指南、说明书、分期或院内制度变化时修订受影响分支并重跑10中的模拟场景。保留版本、修订人、依据与生效日期。临床医师审核和院内试用独立于规则级模拟。</w:t>
      </w:r>
    </w:p>
    <w:sectPr w:rsidR="00FC693F" w:rsidRPr="0006063C" w:rsidSect="00034616">
      <w:footerReference w:type="default" r:id="rId9"/>
      <w:pgSz w:w="11906" w:h="16838"/>
      <w:pgMar w:top="1134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泌尿外科 V1.0  | 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Cache">
    <w:name w:val="TOC Cache"/>
    <w:basedOn w:val="Normal"/>
    <w:pPr>
      <w:spacing w:after="4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03_泌尿外科专科检查排尿功能与尿路评估模板库</dc:title>
  <dc:subject/>
  <dc:creator>泌尿外科医学文书模板库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