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泌尿外科治疗决策围手术期用药及医嘱表达规则库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模块职责：泌尿外科治疗决策围手术期用药及医嘱表达规则库。使用时先核对患者及本次住院，再按任务加载；任何正式文书须经10终审和医师审核。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治疗表达状态及权限</w:t>
        <w:tab/>
        <w:t>3</w:t>
      </w:r>
    </w:p>
    <w:p>
      <w:pPr>
        <w:pStyle w:val="TOCCache"/>
        <w:tabs>
          <w:tab w:pos="9354" w:val="right" w:leader="dot"/>
        </w:tabs>
      </w:pPr>
      <w:r>
        <w:t>01 保守及手术决策</w:t>
        <w:tab/>
        <w:t>3</w:t>
      </w:r>
    </w:p>
    <w:p>
      <w:pPr>
        <w:pStyle w:val="TOCCache"/>
        <w:tabs>
          <w:tab w:pos="9354" w:val="right" w:leader="dot"/>
        </w:tabs>
      </w:pPr>
      <w:r>
        <w:t>02 结石排石及预防</w:t>
        <w:tab/>
        <w:t>4</w:t>
      </w:r>
    </w:p>
    <w:p>
      <w:pPr>
        <w:pStyle w:val="TOCCache"/>
        <w:tabs>
          <w:tab w:pos="9354" w:val="right" w:leader="dot"/>
        </w:tabs>
      </w:pPr>
      <w:r>
        <w:t>03 感染抗菌治疗</w:t>
        <w:tab/>
        <w:t>4</w:t>
      </w:r>
    </w:p>
    <w:p>
      <w:pPr>
        <w:pStyle w:val="TOCCache"/>
        <w:tabs>
          <w:tab w:pos="9354" w:val="right" w:leader="dot"/>
        </w:tabs>
      </w:pPr>
      <w:r>
        <w:t>04 围术期抗菌预防</w:t>
        <w:tab/>
        <w:t>4</w:t>
      </w:r>
    </w:p>
    <w:p>
      <w:pPr>
        <w:pStyle w:val="TOCCache"/>
        <w:tabs>
          <w:tab w:pos="9354" w:val="right" w:leader="dot"/>
        </w:tabs>
      </w:pPr>
      <w:r>
        <w:t>05 培养药敏后调整</w:t>
        <w:tab/>
        <w:t>5</w:t>
      </w:r>
    </w:p>
    <w:p>
      <w:pPr>
        <w:pStyle w:val="TOCCache"/>
        <w:tabs>
          <w:tab w:pos="9354" w:val="right" w:leader="dot"/>
        </w:tabs>
      </w:pPr>
      <w:r>
        <w:t>06 肾功能异常用药</w:t>
        <w:tab/>
        <w:t>5</w:t>
      </w:r>
    </w:p>
    <w:p>
      <w:pPr>
        <w:pStyle w:val="TOCCache"/>
        <w:tabs>
          <w:tab w:pos="9354" w:val="right" w:leader="dot"/>
        </w:tabs>
      </w:pPr>
      <w:r>
        <w:t>07 肾绞痛镇痛</w:t>
        <w:tab/>
        <w:t>5</w:t>
      </w:r>
    </w:p>
    <w:p>
      <w:pPr>
        <w:pStyle w:val="TOCCache"/>
        <w:tabs>
          <w:tab w:pos="9354" w:val="right" w:leader="dot"/>
        </w:tabs>
      </w:pPr>
      <w:r>
        <w:t>08 BPH药物</w:t>
        <w:tab/>
        <w:t>5</w:t>
      </w:r>
    </w:p>
    <w:p>
      <w:pPr>
        <w:pStyle w:val="TOCCache"/>
        <w:tabs>
          <w:tab w:pos="9354" w:val="right" w:leader="dot"/>
        </w:tabs>
      </w:pPr>
      <w:r>
        <w:t>09 排尿功能药物</w:t>
        <w:tab/>
        <w:t>6</w:t>
      </w:r>
    </w:p>
    <w:p>
      <w:pPr>
        <w:pStyle w:val="TOCCache"/>
        <w:tabs>
          <w:tab w:pos="9354" w:val="right" w:leader="dot"/>
        </w:tabs>
      </w:pPr>
      <w:r>
        <w:t>10 膀胱灌注</w:t>
        <w:tab/>
        <w:t>6</w:t>
      </w:r>
    </w:p>
    <w:p>
      <w:pPr>
        <w:pStyle w:val="TOCCache"/>
        <w:tabs>
          <w:tab w:pos="9354" w:val="right" w:leader="dot"/>
        </w:tabs>
      </w:pPr>
      <w:r>
        <w:t>11 前列腺癌内分泌衔接</w:t>
        <w:tab/>
        <w:t>6</w:t>
      </w:r>
    </w:p>
    <w:p>
      <w:pPr>
        <w:pStyle w:val="TOCCache"/>
        <w:tabs>
          <w:tab w:pos="9354" w:val="right" w:leader="dot"/>
        </w:tabs>
      </w:pPr>
      <w:r>
        <w:t>12 肿瘤系统治疗协作</w:t>
        <w:tab/>
        <w:t>7</w:t>
      </w:r>
    </w:p>
    <w:p>
      <w:pPr>
        <w:pStyle w:val="TOCCache"/>
        <w:tabs>
          <w:tab w:pos="9354" w:val="right" w:leader="dot"/>
        </w:tabs>
      </w:pPr>
      <w:r>
        <w:t>13 术后补液</w:t>
        <w:tab/>
        <w:t>7</w:t>
      </w:r>
    </w:p>
    <w:p>
      <w:pPr>
        <w:pStyle w:val="TOCCache"/>
        <w:tabs>
          <w:tab w:pos="9354" w:val="right" w:leader="dot"/>
        </w:tabs>
      </w:pPr>
      <w:r>
        <w:t>14 电解质管理</w:t>
        <w:tab/>
        <w:t>7</w:t>
      </w:r>
    </w:p>
    <w:p>
      <w:pPr>
        <w:pStyle w:val="TOCCache"/>
        <w:tabs>
          <w:tab w:pos="9354" w:val="right" w:leader="dot"/>
        </w:tabs>
      </w:pPr>
      <w:r>
        <w:t>15 尿量监测</w:t>
        <w:tab/>
        <w:t>7</w:t>
      </w:r>
    </w:p>
    <w:p>
      <w:pPr>
        <w:pStyle w:val="TOCCache"/>
        <w:tabs>
          <w:tab w:pos="9354" w:val="right" w:leader="dot"/>
        </w:tabs>
      </w:pPr>
      <w:r>
        <w:t>16 抗凝抗血小板</w:t>
        <w:tab/>
        <w:t>8</w:t>
      </w:r>
    </w:p>
    <w:p>
      <w:pPr>
        <w:pStyle w:val="TOCCache"/>
        <w:tabs>
          <w:tab w:pos="9354" w:val="right" w:leader="dot"/>
        </w:tabs>
      </w:pPr>
      <w:r>
        <w:t>17 VTE预防</w:t>
        <w:tab/>
        <w:t>8</w:t>
      </w:r>
    </w:p>
    <w:p>
      <w:pPr>
        <w:pStyle w:val="TOCCache"/>
        <w:tabs>
          <w:tab w:pos="9354" w:val="right" w:leader="dot"/>
        </w:tabs>
      </w:pPr>
      <w:r>
        <w:t>18 输血</w:t>
        <w:tab/>
        <w:t>8</w:t>
      </w:r>
    </w:p>
    <w:p>
      <w:pPr>
        <w:pStyle w:val="TOCCache"/>
        <w:tabs>
          <w:tab w:pos="9354" w:val="right" w:leader="dot"/>
        </w:tabs>
      </w:pPr>
      <w:r>
        <w:t>19 导尿与膀胱冲洗</w:t>
        <w:tab/>
        <w:t>9</w:t>
      </w:r>
    </w:p>
    <w:p>
      <w:pPr>
        <w:pStyle w:val="TOCCache"/>
        <w:tabs>
          <w:tab w:pos="9354" w:val="right" w:leader="dot"/>
        </w:tabs>
      </w:pPr>
      <w:r>
        <w:t>20 支架与造瘘</w:t>
        <w:tab/>
        <w:t>9</w:t>
      </w:r>
    </w:p>
    <w:p>
      <w:pPr>
        <w:pStyle w:val="TOCCache"/>
        <w:tabs>
          <w:tab w:pos="9354" w:val="right" w:leader="dot"/>
        </w:tabs>
      </w:pPr>
      <w:r>
        <w:t>21 术后营养</w:t>
        <w:tab/>
        <w:t>9</w:t>
      </w:r>
    </w:p>
    <w:p>
      <w:pPr>
        <w:pStyle w:val="TOCCache"/>
        <w:tabs>
          <w:tab w:pos="9354" w:val="right" w:leader="dot"/>
        </w:tabs>
      </w:pPr>
      <w:r>
        <w:t>22 出院用药</w:t>
        <w:tab/>
        <w:t>9</w:t>
      </w:r>
    </w:p>
    <w:p>
      <w:pPr>
        <w:pStyle w:val="TOCCache"/>
        <w:tabs>
          <w:tab w:pos="9354" w:val="right" w:leader="dot"/>
        </w:tabs>
      </w:pPr>
      <w:r>
        <w:t>23 停药及调整</w:t>
        <w:tab/>
        <w:t>10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10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10</w:t>
      </w:r>
    </w:p>
    <w:p>
      <w:pPr>
        <w:pStyle w:val="TOCCache"/>
        <w:tabs>
          <w:tab w:pos="9354" w:val="right" w:leader="dot"/>
        </w:tabs>
      </w:pPr>
      <w:r>
        <w:t>模块协同</w:t>
        <w:tab/>
        <w:t>11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11</w:t>
      </w:r>
    </w:p>
    <w:p>
      <w:pPr>
        <w:pStyle w:val="TOCCache"/>
        <w:tabs>
          <w:tab w:pos="9354" w:val="right" w:leader="dot"/>
        </w:tabs>
      </w:pPr>
      <w:r>
        <w:t>补充版本核验与应用边界</w:t>
        <w:tab/>
        <w:t>12</w:t>
      </w:r>
      <w:r>
        <w:fldChar w:fldCharType="end"/>
      </w:r>
    </w:p>
    <w:p>
      <w:pPr>
        <w:pStyle w:val="Heading1"/>
        <w:pageBreakBefore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治疗表达状态及权限</w:t>
      </w:r>
    </w:p>
    <w:p>
      <w:r>
        <w:t>医学知识→建议→医师拟定→已开医嘱→实际执行不是自动链条。暂停、停止和取消保留时间与原因。患者拒绝或未执行须保留真实说明。只有实际资料充分时记录药物名称、剂量、频次及途径；不为模板补齐处方。</w:t>
      </w:r>
    </w:p>
    <w:p>
      <w:pPr>
        <w:pStyle w:val="Heading1"/>
      </w:pPr>
      <w:r>
        <w:t>01 保守及手术决策</w:t>
      </w:r>
    </w:p>
    <w:p>
      <w:r>
        <w:t>决策资料：症状、梗阻、感染、功能、病灶及患者目标。状态限制：比较替代路径并记录真实医师取舍。</w:t>
      </w:r>
    </w:p>
    <w:p>
      <w:pPr>
        <w:keepNext/>
      </w:pPr>
      <w:r>
        <w:t>【记录日期时间】 保守及手术决策病程表达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结合【症状、梗阻、感染、功能、病灶及患者目标的实际资料】，医师拟【真实方案】；现有医嘱【名称、时间及状态】，实际执行【已核实情况】，治疗后【真实反应】，后续【复评或调整计划】。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结石排石及预防</w:t>
      </w:r>
    </w:p>
    <w:p>
      <w:r>
        <w:t>决策资料：部位负荷、感染梗阻及成分代谢。状态限制：方案不能替代实际处方，复发预防需个体资料。</w:t>
      </w:r>
    </w:p>
    <w:p>
      <w:pPr>
        <w:keepNext/>
      </w:pPr>
      <w:r>
        <w:t>【记录日期时间】 结石排石及预防病程表达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结合【部位负荷、感染梗阻及成分代谢的实际资料】，医师拟【真实方案】；现有医嘱【名称、时间及状态】，实际执行【已核实情况】，治疗后【真实反应】，后续【复评或调整计划】。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感染抗菌治疗</w:t>
      </w:r>
    </w:p>
    <w:p>
      <w:r>
        <w:t>决策资料：症状、严重度、培养药敏、过敏和肾功能。状态限制：无症状菌尿与感染分开；不得自动用药。</w:t>
      </w:r>
    </w:p>
    <w:p>
      <w:pPr>
        <w:keepNext/>
      </w:pPr>
      <w:r>
        <w:t>【记录日期时间】 感染抗菌治疗病程表达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结合【症状、严重度、培养药敏、过敏和肾功能的实际资料】，医师拟【真实方案】；现有医嘱【名称、时间及状态】，实际执行【已核实情况】，治疗后【真实反应】，后续【复评或调整计划】。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围术期抗菌预防</w:t>
      </w:r>
    </w:p>
    <w:p>
      <w:r>
        <w:t>决策资料：实际操作、风险、培养及本院规范。状态限制：治疗和预防目的分开，不自动延长疗程。</w:t>
      </w:r>
    </w:p>
    <w:p>
      <w:pPr>
        <w:keepNext/>
      </w:pPr>
      <w:r>
        <w:t>【记录日期时间】 围术期抗菌预防病程表达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结合【实际操作、风险、培养及本院规范的实际资料】，医师拟【真实方案】；现有医嘱【名称、时间及状态】，实际执行【已核实情况】，治疗后【真实反应】，后续【复评或调整计划】。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培养药敏后调整</w:t>
      </w:r>
    </w:p>
    <w:p>
      <w:r>
        <w:t>决策资料：标本日期、病原及用药反应。状态限制：记录医师调整、医嘱及首次执行时间。</w:t>
      </w:r>
    </w:p>
    <w:p>
      <w:pPr>
        <w:keepNext/>
      </w:pPr>
      <w:r>
        <w:t>【记录日期时间】 培养药敏后调整病程表达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结合【标本日期、病原及用药反应的实际资料】，医师拟【真实方案】；现有医嘱【名称、时间及状态】，实际执行【已核实情况】，治疗后【真实反应】，后续【复评或调整计划】。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肾功能异常用药</w:t>
      </w:r>
    </w:p>
    <w:p>
      <w:r>
        <w:t>决策资料：基线及动态功能、体重及透析状态若有。状态限制：药物评估不自动生成剂量。</w:t>
      </w:r>
    </w:p>
    <w:p>
      <w:pPr>
        <w:keepNext/>
      </w:pPr>
      <w:r>
        <w:t>【记录日期时间】 肾功能异常用药病程表达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结合【基线及动态功能、体重及透析状态若有的实际资料】，医师拟【真实方案】；现有医嘱【名称、时间及状态】，实际执行【已核实情况】，治疗后【真实反应】，后续【复评或调整计划】。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肾绞痛镇痛</w:t>
      </w:r>
    </w:p>
    <w:p>
      <w:r>
        <w:t>决策资料：疼痛、肾功能、出血及其他禁忌。状态限制：难控疼痛或感染梗阻需重新现场评估。</w:t>
      </w:r>
    </w:p>
    <w:p>
      <w:pPr>
        <w:keepNext/>
      </w:pPr>
      <w:r>
        <w:t>【记录日期时间】 肾绞痛镇痛病程表达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结合【疼痛、肾功能、出血及其他禁忌的实际资料】，医师拟【真实方案】；现有医嘱【名称、时间及状态】，实际执行【已核实情况】，治疗后【真实反应】，后续【复评或调整计划】。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BPH药物</w:t>
      </w:r>
    </w:p>
    <w:p>
      <w:r>
        <w:t>决策资料：症状、体积、血压、PVR及并用药。状态限制：仅疾病名称不能证明已用药。</w:t>
      </w:r>
    </w:p>
    <w:p>
      <w:pPr>
        <w:keepNext/>
      </w:pPr>
      <w:r>
        <w:t>【记录日期时间】 BPH药物病程表达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结合【症状、体积、血压、PVR及并用药的实际资料】，医师拟【真实方案】；现有医嘱【名称、时间及状态】，实际执行【已核实情况】，治疗后【真实反应】，后续【复评或调整计划】。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排尿功能药物</w:t>
      </w:r>
    </w:p>
    <w:p>
      <w:r>
        <w:t>决策资料：储尿排尿机制、PVR与禁忌。状态限制：不能由尿频自动给固定方案。</w:t>
      </w:r>
    </w:p>
    <w:p>
      <w:pPr>
        <w:keepNext/>
      </w:pPr>
      <w:r>
        <w:t>【记录日期时间】 排尿功能药物病程表达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结合【储尿排尿机制、PVR与禁忌的实际资料】，医师拟【真实方案】；现有医嘱【名称、时间及状态】，实际执行【已核实情况】，治疗后【真实反应】，后续【复评或调整计划】。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膀胱灌注</w:t>
      </w:r>
    </w:p>
    <w:p>
      <w:r>
        <w:t>决策资料：病理风险、感染、血尿、操作和禁忌评估。状态限制：拟灌注、开嘱和实际灌注分别记录。</w:t>
      </w:r>
    </w:p>
    <w:p>
      <w:pPr>
        <w:keepNext/>
      </w:pPr>
      <w:r>
        <w:t>【记录日期时间】 膀胱灌注病程表达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结合【病理风险、感染、血尿、操作和禁忌评估的实际资料】，医师拟【真实方案】；现有医嘱【名称、时间及状态】，实际执行【已核实情况】，治疗后【真实反应】，后续【复评或调整计划】。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前列腺癌内分泌衔接</w:t>
      </w:r>
    </w:p>
    <w:p>
      <w:r>
        <w:t>决策资料：实际药物、周期、PSA和治疗状态。状态限制：不得虚构已达去势或药物疗效。</w:t>
      </w:r>
    </w:p>
    <w:p>
      <w:pPr>
        <w:keepNext/>
      </w:pPr>
      <w:r>
        <w:t>【记录日期时间】 前列腺癌内分泌衔接病程表达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结合【实际药物、周期、PSA和治疗状态的实际资料】，医师拟【真实方案】；现有医嘱【名称、时间及状态】，实际执行【已核实情况】，治疗后【真实反应】，后续【复评或调整计划】。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肿瘤系统治疗协作</w:t>
      </w:r>
    </w:p>
    <w:p>
      <w:r>
        <w:t>决策资料：病理、分期、功能和MDT意见。状态限制：不代替肿瘤科制定未经确认方案。</w:t>
      </w:r>
    </w:p>
    <w:p>
      <w:pPr>
        <w:keepNext/>
      </w:pPr>
      <w:r>
        <w:t>【记录日期时间】 肿瘤系统治疗协作病程表达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结合【病理、分期、功能和MDT意见的实际资料】，医师拟【真实方案】；现有医嘱【名称、时间及状态】，实际执行【已核实情况】，治疗后【真实反应】，后续【复评或调整计划】。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术后补液</w:t>
      </w:r>
    </w:p>
    <w:p>
      <w:r>
        <w:t>决策资料：容量、循环、出入、肾功能和电解质。状态限制：不自动套固定补液量。</w:t>
      </w:r>
    </w:p>
    <w:p>
      <w:pPr>
        <w:keepNext/>
      </w:pPr>
      <w:r>
        <w:t>【记录日期时间】 术后补液病程表达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结合【容量、循环、出入、肾功能和电解质的实际资料】，医师拟【真实方案】；现有医嘱【名称、时间及状态】，实际执行【已核实情况】，治疗后【真实反应】，后续【复评或调整计划】。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电解质管理</w:t>
      </w:r>
    </w:p>
    <w:p>
      <w:r>
        <w:t>决策资料：原始数值、采样及医嘱。状态限制：调整及复查按实际执行。</w:t>
      </w:r>
    </w:p>
    <w:p>
      <w:pPr>
        <w:keepNext/>
      </w:pPr>
      <w:r>
        <w:t>【记录日期时间】 电解质管理病程表达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结合【原始数值、采样及医嘱的实际资料】，医师拟【真实方案】；现有医嘱【名称、时间及状态】，实际执行【已核实情况】，治疗后【真实反应】，后续【复评或调整计划】。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尿量监测</w:t>
      </w:r>
    </w:p>
    <w:p>
      <w:r>
        <w:t>决策资料：计量窗口、通道及冲洗资料。状态限制：排液与自身尿量区分。</w:t>
      </w:r>
    </w:p>
    <w:p>
      <w:pPr>
        <w:keepNext/>
      </w:pPr>
      <w:r>
        <w:t>【记录日期时间】 尿量监测病程表达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结合【计量窗口、通道及冲洗资料的实际资料】，医师拟【真实方案】；现有医嘱【名称、时间及状态】，实际执行【已核实情况】，治疗后【真实反应】，后续【复评或调整计划】。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抗凝抗血小板</w:t>
      </w:r>
    </w:p>
    <w:p>
      <w:r>
        <w:t>决策资料：适应证、停复记录、出血及栓塞风险。状态限制：不凭术式自动停药或桥接。</w:t>
      </w:r>
    </w:p>
    <w:p>
      <w:pPr>
        <w:keepNext/>
      </w:pPr>
      <w:r>
        <w:t>【记录日期时间】 抗凝抗血小板病程表达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结合【适应证、停复记录、出血及栓塞风险的实际资料】，医师拟【真实方案】；现有医嘱【名称、时间及状态】，实际执行【已核实情况】，治疗后【真实反应】，后续【复评或调整计划】。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VTE预防</w:t>
      </w:r>
    </w:p>
    <w:p>
      <w:r>
        <w:t>决策资料：个体风险、活动、出血及医师意见。状态限制：建议、机械和药物执行各自记录。</w:t>
      </w:r>
    </w:p>
    <w:p>
      <w:pPr>
        <w:keepNext/>
      </w:pPr>
      <w:r>
        <w:t>【记录日期时间】 VTE预防病程表达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结合【个体风险、活动、出血及医师意见的实际资料】，医师拟【真实方案】；现有医嘱【名称、时间及状态】，实际执行【已核实情况】，治疗后【真实反应】，后续【复评或调整计划】。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输血</w:t>
      </w:r>
    </w:p>
    <w:p>
      <w:r>
        <w:t>决策资料：症状、循环、检验、适应性及真实知情。状态限制：Hb下降不自动写已输血。</w:t>
      </w:r>
    </w:p>
    <w:p>
      <w:pPr>
        <w:keepNext/>
      </w:pPr>
      <w:r>
        <w:t>【记录日期时间】 输血病程表达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结合【症状、循环、检验、适应性及真实知情的实际资料】，医师拟【真实方案】；现有医嘱【名称、时间及状态】，实际执行【已核实情况】，治疗后【真实反应】，后续【复评或调整计划】。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导尿与膀胱冲洗</w:t>
      </w:r>
    </w:p>
    <w:p>
      <w:r>
        <w:t>决策资料：管道、入出、疼痛和通畅。状态限制：冲洗方案以真实医嘱为准。</w:t>
      </w:r>
    </w:p>
    <w:p>
      <w:pPr>
        <w:keepNext/>
      </w:pPr>
      <w:r>
        <w:t>【记录日期时间】 导尿与膀胱冲洗病程表达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结合【管道、入出、疼痛和通畅的实际资料】，医师拟【真实方案】；现有医嘱【名称、时间及状态】，实际执行【已核实情况】，治疗后【真实反应】，后续【复评或调整计划】。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支架与造瘘</w:t>
      </w:r>
    </w:p>
    <w:p>
      <w:r>
        <w:t>决策资料：每根侧别位置、引流及计划。状态限制：计划拔除不改变留置状态。</w:t>
      </w:r>
    </w:p>
    <w:p>
      <w:pPr>
        <w:keepNext/>
      </w:pPr>
      <w:r>
        <w:t>【记录日期时间】 支架与造瘘病程表达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结合【每根侧别位置、引流及计划的实际资料】，医师拟【真实方案】；现有医嘱【名称、时间及状态】，实际执行【已核实情况】，治疗后【真实反应】，后续【复评或调整计划】。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术后营养</w:t>
      </w:r>
    </w:p>
    <w:p>
      <w:r>
        <w:t>决策资料：摄入、肠道、营养风险及耐受。状态限制：不自动加白蛋白或固定营养方案。</w:t>
      </w:r>
    </w:p>
    <w:p>
      <w:pPr>
        <w:keepNext/>
      </w:pPr>
      <w:r>
        <w:t>【记录日期时间】 术后营养病程表达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结合【摄入、肠道、营养风险及耐受的实际资料】，医师拟【真实方案】；现有医嘱【名称、时间及状态】，实际执行【已核实情况】，治疗后【真实反应】，后续【复评或调整计划】。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出院用药</w:t>
      </w:r>
    </w:p>
    <w:p>
      <w:r>
        <w:t>决策资料：处方、住院停药及长期用药。状态限制：核名称剂量途径频次与责任。</w:t>
      </w:r>
    </w:p>
    <w:p>
      <w:pPr>
        <w:keepNext/>
      </w:pPr>
      <w:r>
        <w:t>【记录日期时间】 出院用药病程表达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结合【处方、住院停药及长期用药的实际资料】，医师拟【真实方案】；现有医嘱【名称、时间及状态】，实际执行【已核实情况】，治疗后【真实反应】，后续【复评或调整计划】。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停药及调整</w:t>
      </w:r>
    </w:p>
    <w:p>
      <w:r>
        <w:t>决策资料：原因、实际医嘱时间与执行。状态限制：已停不写继续，停用不等于取消全部历史。</w:t>
      </w:r>
    </w:p>
    <w:p>
      <w:pPr>
        <w:keepNext/>
      </w:pPr>
      <w:r>
        <w:t>【记录日期时间】 停药及调整病程表达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结合【原因、实际医嘱时间与执行的实际资料】，医师拟【真实方案】；现有医嘱【名称、时间及状态】，实际执行【已核实情况】，治疗后【真实反应】，后续【复评或调整计划】。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以下为虚构模拟资料，只演示文书规则。虚构U070，医师拟调整抗菌药，旧医嘱已停，新药尚未给药。</w:t>
      </w:r>
    </w:p>
    <w:p>
      <w:pPr>
        <w:keepNext/>
      </w:pPr>
      <w:r>
        <w:t>2026年10月29日 16:00 日常病程记录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医师拟调整抗菌治疗，原抗菌药医嘱已停止，新方案尚未实际给药。后续需按真实医嘱核对执行，并结合培养、肾功能及临床反应复评。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[R05] 抗菌药物临床应用指导原则。国家卫生计生委等，2015；适用：中国临床抗菌药物应用。核验范围：官方全文；处方仍须结合现行说明书和院内耐药资料。</w:t>
      </w:r>
    </w:p>
    <w:p>
      <w:r>
        <w:t>https://www.nhc.gov.cn/ewebeditor/uploadfile/2015/09/20150928170007470.pdf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[R08] EAU Urological Infections。EAU，2026；适用：泌尿系统感染人群。核验范围：局限/系统感染与危险因素框架。</w:t>
      </w:r>
    </w:p>
    <w:p>
      <w:r>
        <w:t>https://uroweb.org/guidelines/urological-infections/chapter/the-guideline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[R13] EAU Muscle-invasive and Metastatic Bladder Cancer。EAU，2026；适用：肌层浸润及转移膀胱癌。核验范围：多学科及治疗阶段边界。</w:t>
      </w:r>
    </w:p>
    <w:p>
      <w:r>
        <w:t>https://uroweb.org/guidelines/muscle-invasive-and-metastatic-bladder-cancer/chapter/disease-management</w:t>
      </w:r>
    </w:p>
    <w:p>
      <w:r>
        <w:t>[R14] EAU Prostate Cancer。EAU，2026；适用：前列腺癌诊断评价。核验范围：PSA MRI与穿刺病理证据区别。</w:t>
      </w:r>
    </w:p>
    <w:p>
      <w:r>
        <w:t>https://uroweb.org/guidelines/prostate-cancer/chapter/diagnostic-evaluation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p>
      <w:pPr>
        <w:pStyle w:val="Heading1"/>
      </w:pPr>
      <w:r>
        <w:t>补充版本核验与应用边界</w:t>
      </w:r>
    </w:p>
    <w:p>
      <w:r>
        <w:t>[S02] 临床用血技术规范 2025年版。国家卫生健康委，2025；中国医疗机构临床用血。核验日期2026年10月29日；正式发布与全流程管理范围已核验。</w:t>
        <w:br/>
        <w:t>https://www.nhc.gov.cn/ylyjs/zcwj/202512/1f0e99982b49476b9b076ee10ef9ca75.shtml</w:t>
      </w:r>
    </w:p>
    <w:p>
      <w:r>
        <w:t>输血前评估、告知、申请、实施及输血后评价分别据实记录，不能由血红蛋白下降推断已输血。</w:t>
      </w:r>
    </w:p>
    <w:p>
      <w:r>
        <w:t>[S03] ESPEN clinical nutrition in surgery Update 2025。ESPEN，2025；外科临床营养，国际补充。核验日期2026年10月29日；正式版本与适用范围已核验。</w:t>
        <w:br/>
        <w:t>https://www.espen.org/files/ESPEN-guideline-on-clinical-nutrition-in-surgery-Update-2025.pdf</w:t>
      </w:r>
    </w:p>
    <w:p>
      <w:r>
        <w:t>营养风险、摄入耐受、实际方案和执行分开记录；剂量和途径由医师结合本地制度确认。</w:t>
      </w:r>
    </w:p>
    <w:p>
      <w:r>
        <w:t>[S04] European peri-operative VTE prophylaxis Chapter 12 Urology。ESAIC，2024；泌尿外科围术期血栓预防，国际补充。核验日期2026年10月29日；原始发表及学会图示已核验。</w:t>
        <w:br/>
        <w:t>https://doi.org/10.1097/EJA.0000000000002012</w:t>
      </w:r>
    </w:p>
    <w:p>
      <w:r>
        <w:t>结合手术类型、入路、清扫范围与患者出血/血栓风险评估，不能机械给所有泌尿患者同一预防方案。</w:t>
      </w:r>
    </w:p>
    <w:p>
      <w:r>
        <w:t>[S05] EAU Thromboprophylaxis归档状态。EAU；历史指南目录。核验日期2026年10月29日；官方页面说明为2017—2022归档。</w:t>
        <w:br/>
        <w:t>https://nl.patients.uroweb.org/eau-guidelines/discontinued-topics/thromboprophylaxis</w:t>
      </w:r>
    </w:p>
    <w:p>
      <w:r>
        <w:t>历史EAU血栓预防文档不能标注为EAU 2026新版。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07_泌尿外科治疗决策围手术期用药及医嘱表达规则库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