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 膀胱肿瘤及尿路上皮癌专病模板库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模块职责：膀胱肿瘤及尿路上皮癌专病模板库。使用时先核对患者及本次住院，再按任务加载；任何正式文书须经10终审和医师审核。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膀胱占位与初次TURBT</w:t>
        <w:tab/>
        <w:t>3</w:t>
      </w:r>
    </w:p>
    <w:p>
      <w:pPr>
        <w:pStyle w:val="TOCCache"/>
        <w:tabs>
          <w:tab w:pos="9354" w:val="right" w:leader="dot"/>
        </w:tabs>
      </w:pPr>
      <w:r>
        <w:t>非肌层浸润性膀胱癌 原位癌及复发</w:t>
        <w:tab/>
        <w:t>8</w:t>
      </w:r>
    </w:p>
    <w:p>
      <w:pPr>
        <w:pStyle w:val="TOCCache"/>
        <w:tabs>
          <w:tab w:pos="9354" w:val="right" w:leader="dot"/>
        </w:tabs>
      </w:pPr>
      <w:r>
        <w:t>肌层浸润性膀胱癌及尿流改道</w:t>
        <w:tab/>
        <w:t>13</w:t>
      </w:r>
    </w:p>
    <w:p>
      <w:pPr>
        <w:pStyle w:val="TOCCache"/>
        <w:tabs>
          <w:tab w:pos="9354" w:val="right" w:leader="dot"/>
        </w:tabs>
      </w:pPr>
      <w:r>
        <w:t>虚构病例及输出示例</w:t>
        <w:tab/>
        <w:t>18</w:t>
      </w:r>
    </w:p>
    <w:p>
      <w:pPr>
        <w:pStyle w:val="TOCCache"/>
        <w:tabs>
          <w:tab w:pos="9354" w:val="right" w:leader="dot"/>
        </w:tabs>
      </w:pPr>
      <w:r>
        <w:t>常见错误与最终核对</w:t>
        <w:tab/>
        <w:t>18</w:t>
      </w:r>
    </w:p>
    <w:p>
      <w:pPr>
        <w:pStyle w:val="TOCCache"/>
        <w:tabs>
          <w:tab w:pos="9354" w:val="right" w:leader="dot"/>
        </w:tabs>
      </w:pPr>
      <w:r>
        <w:t>模块协同</w:t>
        <w:tab/>
        <w:t>18</w:t>
      </w:r>
    </w:p>
    <w:p>
      <w:pPr>
        <w:pStyle w:val="TOCCache"/>
        <w:tabs>
          <w:tab w:pos="9354" w:val="right" w:leader="dot"/>
        </w:tabs>
      </w:pPr>
      <w:r>
        <w:t>指南与证据维护</w:t>
        <w:tab/>
        <w:t>19</w:t>
      </w:r>
    </w:p>
    <w:p>
      <w:pPr>
        <w:pStyle w:val="TOCCache"/>
        <w:tabs>
          <w:tab w:pos="9354" w:val="right" w:leader="dot"/>
        </w:tabs>
      </w:pPr>
      <w:r>
        <w:t>补充版本核验与应用边界</w:t>
        <w:tab/>
        <w:t>19</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膀胱占位与初次TURBT</w:t>
      </w:r>
    </w:p>
    <w:p>
      <w:pPr>
        <w:pStyle w:val="Heading2"/>
      </w:pPr>
      <w:r>
        <w:t>01 疾病定义与机制</w:t>
      </w:r>
    </w:p>
    <w:p>
      <w:r>
        <w:t>镜下或影像肿物尚须组织证据判定性质</w:t>
      </w:r>
    </w:p>
    <w:p>
      <w:pPr>
        <w:pStyle w:val="Heading2"/>
      </w:pPr>
      <w:r>
        <w:t>02 病因及危险背景</w:t>
      </w:r>
    </w:p>
    <w:p>
      <w:r>
        <w:t>采集血尿、血块、刺激症状及既往灌注/切除史；病因解释不得转成已发生事实。</w:t>
      </w:r>
    </w:p>
    <w:p>
      <w:pPr>
        <w:pStyle w:val="Heading2"/>
      </w:pPr>
      <w:r>
        <w:t>03 临床表现</w:t>
      </w:r>
    </w:p>
    <w:p>
      <w:r>
        <w:t>血尿、血块、刺激症状及既往灌注/切除史</w:t>
      </w:r>
    </w:p>
    <w:p>
      <w:pPr>
        <w:pStyle w:val="Heading2"/>
      </w:pPr>
      <w:r>
        <w:t>04 病史采集</w:t>
      </w:r>
    </w:p>
    <w:p>
      <w:r>
        <w:t>保留起病、变化、既往处置、用药和患者目标；本病重点为血尿、血块、刺激症状及既往灌注/切除史</w:t>
      </w:r>
    </w:p>
    <w:p>
      <w:pPr>
        <w:pStyle w:val="Heading2"/>
      </w:pPr>
      <w:r>
        <w:t>05 专科检查</w:t>
      </w:r>
    </w:p>
    <w:p>
      <w:r>
        <w:t>实际腹部、膀胱与一般状态</w:t>
      </w:r>
    </w:p>
    <w:p>
      <w:pPr>
        <w:pStyle w:val="Heading2"/>
      </w:pPr>
      <w:r>
        <w:t>06 检验检查</w:t>
      </w:r>
    </w:p>
    <w:p>
      <w:r>
        <w:t>血常规、肾功能、尿检及尿细胞学</w:t>
      </w:r>
    </w:p>
    <w:p>
      <w:pPr>
        <w:pStyle w:val="Heading2"/>
      </w:pPr>
      <w:r>
        <w:t>07 影像及内镜</w:t>
      </w:r>
    </w:p>
    <w:p>
      <w:r>
        <w:t>膀胱镜记录部位数目外观，TURBT病理区分取材层次</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肿物不直接等于癌；鉴别血块、炎症和良性病变</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肿物不直接等于癌；鉴别血块、炎症和良性病变；逐项写支持与不支持证据，未检查不写已排除。</w:t>
      </w:r>
    </w:p>
    <w:p>
      <w:pPr>
        <w:pStyle w:val="Heading2"/>
      </w:pPr>
      <w:r>
        <w:t>12 分型与严重程度</w:t>
      </w:r>
    </w:p>
    <w:p>
      <w:r>
        <w:t>初诊范围和病理分层分别记录，不提前分期</w:t>
      </w:r>
    </w:p>
    <w:p>
      <w:pPr>
        <w:pStyle w:val="Heading2"/>
      </w:pPr>
      <w:r>
        <w:t>13 危险分层</w:t>
      </w:r>
    </w:p>
    <w:p>
      <w:r>
        <w:t>采用临床医师指定体系与版本，明确缺项。初诊范围和病理分层分别记录，不提前分期</w:t>
      </w:r>
    </w:p>
    <w:p>
      <w:pPr>
        <w:pStyle w:val="Heading2"/>
      </w:pPr>
      <w:r>
        <w:t>14 保守治疗</w:t>
      </w:r>
    </w:p>
    <w:p>
      <w:r>
        <w:t>出血及排尿问题处理需真实医嘱</w:t>
      </w:r>
    </w:p>
    <w:p>
      <w:pPr>
        <w:pStyle w:val="Heading2"/>
      </w:pPr>
      <w:r>
        <w:t>15 手术适应性评估</w:t>
      </w:r>
    </w:p>
    <w:p>
      <w:r>
        <w:t>TURBT或整块切除用于诊断治疗评估，完整性据原记录</w:t>
      </w:r>
    </w:p>
    <w:p>
      <w:pPr>
        <w:pStyle w:val="Heading2"/>
      </w:pPr>
      <w:r>
        <w:t>16 常见操作与术式</w:t>
      </w:r>
    </w:p>
    <w:p>
      <w:r>
        <w:t>TURBT或整块切除用于诊断治疗评估，完整性据原记录；参见05对应术式的16阶段模板。</w:t>
      </w:r>
    </w:p>
    <w:p>
      <w:pPr>
        <w:pStyle w:val="Heading2"/>
      </w:pPr>
      <w:r>
        <w:t>17 术前评估</w:t>
      </w:r>
    </w:p>
    <w:p>
      <w:r>
        <w:t>核感染、出血、抗栓及拟行范围</w:t>
      </w:r>
    </w:p>
    <w:p>
      <w:pPr>
        <w:pStyle w:val="Heading2"/>
      </w:pPr>
      <w:r>
        <w:t>18 术前风险</w:t>
      </w:r>
    </w:p>
    <w:p>
      <w:r>
        <w:t>向实际沟通记录核对出血、感染、损伤、功能及再干预风险；本病重点：核感染、出血、抗栓及拟行范围</w:t>
      </w:r>
    </w:p>
    <w:p>
      <w:pPr>
        <w:pStyle w:val="Heading2"/>
      </w:pPr>
      <w:r>
        <w:t>19 术后观察</w:t>
      </w:r>
    </w:p>
    <w:p>
      <w:r>
        <w:t>尿色、血块、冲洗、穿孔疑点和病理待回报状态</w:t>
      </w:r>
    </w:p>
    <w:p>
      <w:pPr>
        <w:pStyle w:val="Heading2"/>
      </w:pPr>
      <w:r>
        <w:t>20 并发症与异常</w:t>
      </w:r>
    </w:p>
    <w:p>
      <w:r>
        <w:t>尿色、血块、冲洗、穿孔疑点和病理待回报状态；疑急危重先现场评估，再按06记录处理与反应。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血尿、血块、刺激症状及既往灌注/切除史】。辅助检查：【血常规、肾功能、尿检及尿细胞学；膀胱镜记录部位数目外观，TURBT病理区分取材层次】。初步诊断及依据：【有证据诊断和依据】。鉴别诊断：【肿物不直接等于癌；鉴别血块、炎症和良性病变的具体鉴别分析】。诊疗计划：【出血及排尿问题处理需真实医嘱；TURBT或整块切除用于诊断治疗评估，完整性据原记录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腹部、膀胱与一般状态】；辅助检查【本次新增及可比动态结果】。结合【诊断证据】评估【初诊范围和病理分层分别记录，不提前分期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血常规、肾功能、尿检及尿细胞学的实际变化】。主治医师意见：【尿色、血块、冲洗、穿孔疑点和病理待回报状态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肿物不直接等于癌；鉴别血块、炎症和良性病变的证据复核及TURBT或整块切除用于诊断治疗评估，完整性据原记录的可行性分析】，关注【核感染、出血、抗栓及拟行范围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初诊范围和病理分层分别记录，不提前分期的复核、重大治疗取舍及病理追踪有责任人；后续方案待真实病理和医师意见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感染、出血、抗栓及拟行范围的实际评价】。拟行操作：【真实术名、侧别及计划日期】。适应性及替代选择：【TURBT或整块切除用于诊断治疗评估，完整性据原记录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尿色、血块、冲洗、穿孔疑点和病理待回报状态】。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病理追踪有责任人；后续方案待真实病理和医师意见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病理追踪有责任人；后续方案待真实病理和医师意见的具体项目、时间和负责团队】。异常处置：【经告知的发热、出血、无尿或装置异常等返院条件】。</w:t>
      </w:r>
    </w:p>
    <w:p>
      <w:pPr>
        <w:keepNext w:val="0"/>
        <w:keepLines/>
      </w:pPr>
      <w:r>
        <w:t>```</w:t>
      </w:r>
    </w:p>
    <w:p>
      <w:pPr>
        <w:pStyle w:val="Heading2"/>
      </w:pPr>
      <w:r>
        <w:t>31 长期随访</w:t>
      </w:r>
    </w:p>
    <w:p>
      <w:r>
        <w:t>病理追踪有责任人；后续方案待真实病理和医师意见；结果未回报者明确接收责任，禁止自动填写未确认日期。</w:t>
      </w:r>
    </w:p>
    <w:p>
      <w:pPr>
        <w:pStyle w:val="Heading2"/>
      </w:pPr>
      <w:r>
        <w:t>32 最终质控</w:t>
      </w:r>
    </w:p>
    <w:p>
      <w:r>
        <w:t>核侧别部位、当前住院、血常规、肾功能、尿检及尿细胞学与膀胱镜记录部位数目外观，TURBT病理区分取材层次的真实时间，手术与管道状态、诊断分级和计划/执行；缺少关键证据时转10阻断。</w:t>
      </w:r>
    </w:p>
    <w:p>
      <w:pPr>
        <w:pStyle w:val="Heading2"/>
      </w:pPr>
      <w:r>
        <w:t>33 指南及证据来源</w:t>
      </w:r>
    </w:p>
    <w:p>
      <w:r>
        <w:t>本病适用来源：R06、R12、R13；具体版本、适用人群和核验范围见文末。没有公开核实的国内新版推荐不填写推荐等级；不得把本库作为固定诊疗路径。</w:t>
      </w:r>
    </w:p>
    <w:p>
      <w:pPr>
        <w:pStyle w:val="Heading1"/>
      </w:pPr>
      <w:r>
        <w:t>非肌层浸润性膀胱癌 原位癌及复发</w:t>
      </w:r>
    </w:p>
    <w:p>
      <w:pPr>
        <w:pStyle w:val="Heading2"/>
      </w:pPr>
      <w:r>
        <w:t>01 疾病定义与机制</w:t>
      </w:r>
    </w:p>
    <w:p>
      <w:r>
        <w:t>Ta/T1及CIS的病理与复发进展风险需分别管理</w:t>
      </w:r>
    </w:p>
    <w:p>
      <w:pPr>
        <w:pStyle w:val="Heading2"/>
      </w:pPr>
      <w:r>
        <w:t>02 病因及危险背景</w:t>
      </w:r>
    </w:p>
    <w:p>
      <w:r>
        <w:t>采集既往病理、肿瘤数目大小、复发时间与灌注经过；病因解释不得转成已发生事实。</w:t>
      </w:r>
    </w:p>
    <w:p>
      <w:pPr>
        <w:pStyle w:val="Heading2"/>
      </w:pPr>
      <w:r>
        <w:t>03 临床表现</w:t>
      </w:r>
    </w:p>
    <w:p>
      <w:r>
        <w:t>既往病理、肿瘤数目大小、复发时间与灌注经过</w:t>
      </w:r>
    </w:p>
    <w:p>
      <w:pPr>
        <w:pStyle w:val="Heading2"/>
      </w:pPr>
      <w:r>
        <w:t>04 病史采集</w:t>
      </w:r>
    </w:p>
    <w:p>
      <w:r>
        <w:t>保留起病、变化、既往处置、用药和患者目标；本病重点为既往病理、肿瘤数目大小、复发时间与灌注经过</w:t>
      </w:r>
    </w:p>
    <w:p>
      <w:pPr>
        <w:pStyle w:val="Heading2"/>
      </w:pPr>
      <w:r>
        <w:t>05 专科检查</w:t>
      </w:r>
    </w:p>
    <w:p>
      <w:r>
        <w:t>实际泌尿系统症状与查体</w:t>
      </w:r>
    </w:p>
    <w:p>
      <w:pPr>
        <w:pStyle w:val="Heading2"/>
      </w:pPr>
      <w:r>
        <w:t>06 检验检查</w:t>
      </w:r>
    </w:p>
    <w:p>
      <w:r>
        <w:t>病理级别、CIS及逼尿肌信息，灌注前相关检验</w:t>
      </w:r>
    </w:p>
    <w:p>
      <w:pPr>
        <w:pStyle w:val="Heading2"/>
      </w:pPr>
      <w:r>
        <w:t>07 影像及内镜</w:t>
      </w:r>
    </w:p>
    <w:p>
      <w:r>
        <w:t>膀胱镜和实际影像，阴性细胞学不能独立排除肿瘤</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T1为固有层浸润，不能写成肌层浸润；缺逼尿肌不得视为未侵肌</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T1为固有层浸润，不能写成肌层浸润；缺逼尿肌不得视为未侵肌；逐项写支持与不支持证据，未检查不写已排除。</w:t>
      </w:r>
    </w:p>
    <w:p>
      <w:pPr>
        <w:pStyle w:val="Heading2"/>
      </w:pPr>
      <w:r>
        <w:t>12 分型与严重程度</w:t>
      </w:r>
    </w:p>
    <w:p>
      <w:r>
        <w:t>风险分层按明确体系与完整证据，不擅填组别</w:t>
      </w:r>
    </w:p>
    <w:p>
      <w:pPr>
        <w:pStyle w:val="Heading2"/>
      </w:pPr>
      <w:r>
        <w:t>13 危险分层</w:t>
      </w:r>
    </w:p>
    <w:p>
      <w:r>
        <w:t>采用临床医师指定体系与版本，明确缺项。风险分层按明确体系与完整证据，不擅填组别</w:t>
      </w:r>
    </w:p>
    <w:p>
      <w:pPr>
        <w:pStyle w:val="Heading2"/>
      </w:pPr>
      <w:r>
        <w:t>14 保守治疗</w:t>
      </w:r>
    </w:p>
    <w:p>
      <w:r>
        <w:t>膀胱灌注方案记录计划、医嘱和实际实施及不良反应</w:t>
      </w:r>
    </w:p>
    <w:p>
      <w:pPr>
        <w:pStyle w:val="Heading2"/>
      </w:pPr>
      <w:r>
        <w:t>15 手术适应性评估</w:t>
      </w:r>
    </w:p>
    <w:p>
      <w:r>
        <w:t>再次TURBT由切除/病理和现行规范评估，不自动认已实施</w:t>
      </w:r>
    </w:p>
    <w:p>
      <w:pPr>
        <w:pStyle w:val="Heading2"/>
      </w:pPr>
      <w:r>
        <w:t>16 常见操作与术式</w:t>
      </w:r>
    </w:p>
    <w:p>
      <w:r>
        <w:t>再次TURBT由切除/病理和现行规范评估，不自动认已实施；参见05对应术式的16阶段模板。</w:t>
      </w:r>
    </w:p>
    <w:p>
      <w:pPr>
        <w:pStyle w:val="Heading2"/>
      </w:pPr>
      <w:r>
        <w:t>17 术前评估</w:t>
      </w:r>
    </w:p>
    <w:p>
      <w:r>
        <w:t>核既往切除完整性、逼尿肌、CIS和灌注适用性</w:t>
      </w:r>
    </w:p>
    <w:p>
      <w:pPr>
        <w:pStyle w:val="Heading2"/>
      </w:pPr>
      <w:r>
        <w:t>18 术前风险</w:t>
      </w:r>
    </w:p>
    <w:p>
      <w:r>
        <w:t>向实际沟通记录核对出血、感染、损伤、功能及再干预风险；本病重点：核既往切除完整性、逼尿肌、CIS和灌注适用性</w:t>
      </w:r>
    </w:p>
    <w:p>
      <w:pPr>
        <w:pStyle w:val="Heading2"/>
      </w:pPr>
      <w:r>
        <w:t>19 术后观察</w:t>
      </w:r>
    </w:p>
    <w:p>
      <w:r>
        <w:t>观察血尿、感染及灌注不良反应，疑穿孔等须现场评估</w:t>
      </w:r>
    </w:p>
    <w:p>
      <w:pPr>
        <w:pStyle w:val="Heading2"/>
      </w:pPr>
      <w:r>
        <w:t>20 并发症与异常</w:t>
      </w:r>
    </w:p>
    <w:p>
      <w:r>
        <w:t>观察血尿、感染及灌注不良反应，疑穿孔等须现场评估；疑急危重先现场评估，再按06记录处理与反应。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既往病理、肿瘤数目大小、复发时间与灌注经过】。辅助检查：【病理级别、CIS及逼尿肌信息，灌注前相关检验；膀胱镜和实际影像，阴性细胞学不能独立排除肿瘤】。初步诊断及依据：【有证据诊断和依据】。鉴别诊断：【T1为固有层浸润，不能写成肌层浸润；缺逼尿肌不得视为未侵肌的具体鉴别分析】。诊疗计划：【膀胱灌注方案记录计划、医嘱和实际实施及不良反应；再次TURBT由切除/病理和现行规范评估，不自动认已实施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泌尿系统症状与查体】；辅助检查【本次新增及可比动态结果】。结合【诊断证据】评估【风险分层按明确体系与完整证据，不擅填组别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病理级别、CIS及逼尿肌信息，灌注前相关检验的实际变化】。主治医师意见：【观察血尿、感染及灌注不良反应，疑穿孔等须现场评估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T1为固有层浸润，不能写成肌层浸润；缺逼尿肌不得视为未侵肌的证据复核及再次TURBT由切除/病理和现行规范评估，不自动认已实施的可行性分析】，关注【核既往切除完整性、逼尿肌、CIS和灌注适用性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风险分层按明确体系与完整证据，不擅填组别的复核、重大治疗取舍及按风险和实际医师方案安排膀胱镜等复查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既往切除完整性、逼尿肌、CIS和灌注适用性的实际评价】。拟行操作：【真实术名、侧别及计划日期】。适应性及替代选择：【再次TURBT由切除/病理和现行规范评估，不自动认已实施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观察血尿、感染及灌注不良反应，疑穿孔等须现场评估】。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按风险和实际医师方案安排膀胱镜等复查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按风险和实际医师方案安排膀胱镜等复查的具体项目、时间和负责团队】。异常处置：【经告知的发热、出血、无尿或装置异常等返院条件】。</w:t>
      </w:r>
    </w:p>
    <w:p>
      <w:pPr>
        <w:keepNext w:val="0"/>
        <w:keepLines/>
      </w:pPr>
      <w:r>
        <w:t>```</w:t>
      </w:r>
    </w:p>
    <w:p>
      <w:pPr>
        <w:pStyle w:val="Heading2"/>
      </w:pPr>
      <w:r>
        <w:t>31 长期随访</w:t>
      </w:r>
    </w:p>
    <w:p>
      <w:r>
        <w:t>按风险和实际医师方案安排膀胱镜等复查；结果未回报者明确接收责任，禁止自动填写未确认日期。</w:t>
      </w:r>
    </w:p>
    <w:p>
      <w:pPr>
        <w:pStyle w:val="Heading2"/>
      </w:pPr>
      <w:r>
        <w:t>32 最终质控</w:t>
      </w:r>
    </w:p>
    <w:p>
      <w:r>
        <w:t>核侧别部位、当前住院、病理级别、CIS及逼尿肌信息，灌注前相关检验与膀胱镜和实际影像，阴性细胞学不能独立排除肿瘤的真实时间，手术与管道状态、诊断分级和计划/执行；缺少关键证据时转10阻断。</w:t>
      </w:r>
    </w:p>
    <w:p>
      <w:pPr>
        <w:pStyle w:val="Heading2"/>
      </w:pPr>
      <w:r>
        <w:t>33 指南及证据来源</w:t>
      </w:r>
    </w:p>
    <w:p>
      <w:r>
        <w:t>本病适用来源：R06、R12、R13；具体版本、适用人群和核验范围见文末。没有公开核实的国内新版推荐不填写推荐等级；不得把本库作为固定诊疗路径。</w:t>
      </w:r>
    </w:p>
    <w:p>
      <w:pPr>
        <w:pStyle w:val="Heading1"/>
      </w:pPr>
      <w:r>
        <w:t>肌层浸润性膀胱癌及尿流改道</w:t>
      </w:r>
    </w:p>
    <w:p>
      <w:pPr>
        <w:pStyle w:val="Heading2"/>
      </w:pPr>
      <w:r>
        <w:t>01 疾病定义与机制</w:t>
      </w:r>
    </w:p>
    <w:p>
      <w:r>
        <w:t>肌层受侵须可靠证据，局部分期和全身分期独立</w:t>
      </w:r>
    </w:p>
    <w:p>
      <w:pPr>
        <w:pStyle w:val="Heading2"/>
      </w:pPr>
      <w:r>
        <w:t>02 病因及危险背景</w:t>
      </w:r>
    </w:p>
    <w:p>
      <w:r>
        <w:t>采集出血、梗阻、体能、既往治疗与患者目标；病因解释不得转成已发生事实。</w:t>
      </w:r>
    </w:p>
    <w:p>
      <w:pPr>
        <w:pStyle w:val="Heading2"/>
      </w:pPr>
      <w:r>
        <w:t>03 临床表现</w:t>
      </w:r>
    </w:p>
    <w:p>
      <w:r>
        <w:t>出血、梗阻、体能、既往治疗与患者目标</w:t>
      </w:r>
    </w:p>
    <w:p>
      <w:pPr>
        <w:pStyle w:val="Heading2"/>
      </w:pPr>
      <w:r>
        <w:t>04 病史采集</w:t>
      </w:r>
    </w:p>
    <w:p>
      <w:r>
        <w:t>保留起病、变化、既往处置、用药和患者目标；本病重点为出血、梗阻、体能、既往治疗与患者目标</w:t>
      </w:r>
    </w:p>
    <w:p>
      <w:pPr>
        <w:pStyle w:val="Heading2"/>
      </w:pPr>
      <w:r>
        <w:t>05 专科检查</w:t>
      </w:r>
    </w:p>
    <w:p>
      <w:r>
        <w:t>一般状态、营养、泌尿和造口相关实查</w:t>
      </w:r>
    </w:p>
    <w:p>
      <w:pPr>
        <w:pStyle w:val="Heading2"/>
      </w:pPr>
      <w:r>
        <w:t>06 检验检查</w:t>
      </w:r>
    </w:p>
    <w:p>
      <w:r>
        <w:t>肾功能、贫血、病理及治疗前真实评估</w:t>
      </w:r>
    </w:p>
    <w:p>
      <w:pPr>
        <w:pStyle w:val="Heading2"/>
      </w:pPr>
      <w:r>
        <w:t>07 影像及内镜</w:t>
      </w:r>
    </w:p>
    <w:p>
      <w:r>
        <w:t>影像分期和病理范围，淋巴结与远处转移证据独立</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不由肿物大小推T2；鉴别病理取样局限及其他类型</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不由肿物大小推T2；鉴别病理取样局限及其他类型；逐项写支持与不支持证据，未检查不写已排除。</w:t>
      </w:r>
    </w:p>
    <w:p>
      <w:pPr>
        <w:pStyle w:val="Heading2"/>
      </w:pPr>
      <w:r>
        <w:t>12 分型与严重程度</w:t>
      </w:r>
    </w:p>
    <w:p>
      <w:r>
        <w:t>cTNM和pTNM分开，记录版次与医师复核</w:t>
      </w:r>
    </w:p>
    <w:p>
      <w:pPr>
        <w:pStyle w:val="Heading2"/>
      </w:pPr>
      <w:r>
        <w:t>13 危险分层</w:t>
      </w:r>
    </w:p>
    <w:p>
      <w:r>
        <w:t>采用临床医师指定体系与版本，明确缺项。cTNM和pTNM分开，记录版次与医师复核</w:t>
      </w:r>
    </w:p>
    <w:p>
      <w:pPr>
        <w:pStyle w:val="Heading2"/>
      </w:pPr>
      <w:r>
        <w:t>14 保守治疗</w:t>
      </w:r>
    </w:p>
    <w:p>
      <w:r>
        <w:t>MDT评估系统治疗、放疗或保膀胱路径及适用性</w:t>
      </w:r>
    </w:p>
    <w:p>
      <w:pPr>
        <w:pStyle w:val="Heading2"/>
      </w:pPr>
      <w:r>
        <w:t>15 手术适应性评估</w:t>
      </w:r>
    </w:p>
    <w:p>
      <w:r>
        <w:t>根治性切除、清扫与尿流改道须分开记实际范围</w:t>
      </w:r>
    </w:p>
    <w:p>
      <w:pPr>
        <w:pStyle w:val="Heading2"/>
      </w:pPr>
      <w:r>
        <w:t>16 常见操作与术式</w:t>
      </w:r>
    </w:p>
    <w:p>
      <w:r>
        <w:t>根治性切除、清扫与尿流改道须分开记实际范围；参见05对应术式的16阶段模板。</w:t>
      </w:r>
    </w:p>
    <w:p>
      <w:pPr>
        <w:pStyle w:val="Heading2"/>
      </w:pPr>
      <w:r>
        <w:t>17 术前评估</w:t>
      </w:r>
    </w:p>
    <w:p>
      <w:r>
        <w:t>评估肾功能、肠道营养、改道能力及知情</w:t>
      </w:r>
    </w:p>
    <w:p>
      <w:pPr>
        <w:pStyle w:val="Heading2"/>
      </w:pPr>
      <w:r>
        <w:t>18 术前风险</w:t>
      </w:r>
    </w:p>
    <w:p>
      <w:r>
        <w:t>向实际沟通记录核对出血、感染、损伤、功能及再干预风险；本病重点：评估肾功能、肠道营养、改道能力及知情</w:t>
      </w:r>
    </w:p>
    <w:p>
      <w:pPr>
        <w:pStyle w:val="Heading2"/>
      </w:pPr>
      <w:r>
        <w:t>19 术后观察</w:t>
      </w:r>
    </w:p>
    <w:p>
      <w:r>
        <w:t>造口、肠功能、引流、尿漏、感染与电解质</w:t>
      </w:r>
    </w:p>
    <w:p>
      <w:pPr>
        <w:pStyle w:val="Heading2"/>
      </w:pPr>
      <w:r>
        <w:t>20 并发症与异常</w:t>
      </w:r>
    </w:p>
    <w:p>
      <w:r>
        <w:t>造口、肠功能、引流、尿漏、感染与电解质；疑急危重先现场评估，再按06记录处理与反应。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出血、梗阻、体能、既往治疗与患者目标】。辅助检查：【肾功能、贫血、病理及治疗前真实评估；影像分期和病理范围，淋巴结与远处转移证据独立】。初步诊断及依据：【有证据诊断和依据】。鉴别诊断：【不由肿物大小推T2；鉴别病理取样局限及其他类型的具体鉴别分析】。诊疗计划：【MDT评估系统治疗、放疗或保膀胱路径及适用性；根治性切除、清扫与尿流改道须分开记实际范围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一般状态、营养、泌尿和造口相关实查】；辅助检查【本次新增及可比动态结果】。结合【诊断证据】评估【cTNM和pTNM分开，记录版次与医师复核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肾功能、贫血、病理及治疗前真实评估的实际变化】。主治医师意见：【造口、肠功能、引流、尿漏、感染与电解质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不由肿物大小推T2；鉴别病理取样局限及其他类型的证据复核及根治性切除、清扫与尿流改道须分开记实际范围的可行性分析】，关注【评估肾功能、肠道营养、改道能力及知情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cTNM和pTNM分开，记录版次与医师复核的复核、重大治疗取舍及改道长期照护、肾功能与肿瘤复查责任清楚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评估肾功能、肠道营养、改道能力及知情的实际评价】。拟行操作：【真实术名、侧别及计划日期】。适应性及替代选择：【根治性切除、清扫与尿流改道须分开记实际范围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造口、肠功能、引流、尿漏、感染与电解质】。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改道长期照护、肾功能与肿瘤复查责任清楚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改道长期照护、肾功能与肿瘤复查责任清楚的具体项目、时间和负责团队】。异常处置：【经告知的发热、出血、无尿或装置异常等返院条件】。</w:t>
      </w:r>
    </w:p>
    <w:p>
      <w:pPr>
        <w:keepNext w:val="0"/>
        <w:keepLines/>
      </w:pPr>
      <w:r>
        <w:t>```</w:t>
      </w:r>
    </w:p>
    <w:p>
      <w:pPr>
        <w:pStyle w:val="Heading2"/>
      </w:pPr>
      <w:r>
        <w:t>31 长期随访</w:t>
      </w:r>
    </w:p>
    <w:p>
      <w:r>
        <w:t>改道长期照护、肾功能与肿瘤复查责任清楚；结果未回报者明确接收责任，禁止自动填写未确认日期。</w:t>
      </w:r>
    </w:p>
    <w:p>
      <w:pPr>
        <w:pStyle w:val="Heading2"/>
      </w:pPr>
      <w:r>
        <w:t>32 最终质控</w:t>
      </w:r>
    </w:p>
    <w:p>
      <w:r>
        <w:t>核侧别部位、当前住院、肾功能、贫血、病理及治疗前真实评估与影像分期和病理范围，淋巴结与远处转移证据独立的真实时间，手术与管道状态、诊断分级和计划/执行；缺少关键证据时转10阻断。</w:t>
      </w:r>
    </w:p>
    <w:p>
      <w:pPr>
        <w:pStyle w:val="Heading2"/>
      </w:pPr>
      <w:r>
        <w:t>33 指南及证据来源</w:t>
      </w:r>
    </w:p>
    <w:p>
      <w:r>
        <w:t>本病适用来源：R06、R12、R13；具体版本、适用人群和核验范围见文末。没有公开核实的国内新版推荐不填写推荐等级；不得把本库作为固定诊疗路径。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以下为虚构模拟资料，只演示文书规则。U021；29日报高等级尿路上皮癌浸润固有层；标本未见逼尿肌</w:t>
      </w:r>
    </w:p>
    <w:p>
      <w:pPr>
        <w:keepNext/>
      </w:pPr>
      <w:r>
        <w:t>2026年10月29日 16:00 膀胱病理修正</w:t>
      </w:r>
    </w:p>
    <w:p>
      <w:pPr>
        <w:keepNext/>
        <w:keepLines/>
      </w:pPr>
      <w:r>
        <w:t>```text</w:t>
      </w:r>
    </w:p>
    <w:p>
      <w:pPr>
        <w:keepNext/>
        <w:keepLines/>
      </w:pPr>
      <w:r>
        <w:t>病理回报高等级尿路上皮癌，浸润固有层，标本未见逼尿肌。可据此修正当前组织学与浸润描述，不能据缺少逼尿肌判定肌层未受侵；后续需由主管团队评估分期充分性及再次处理。</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[R06] 肾癌 膀胱癌 前列腺癌诊疗指南。国家卫生健康委，2022；适用：中国相应肿瘤患者。核验范围：官方发布；未将2022称为2026最新版。</w:t>
      </w:r>
    </w:p>
    <w:p>
      <w:r>
        <w:t>https://www.nhc.gov.cn/yzygj/c100068/202204/0c1f7d3aca0545abbeb02030ce255930.shtml</w:t>
      </w:r>
    </w:p>
    <w:p>
      <w:r>
        <w:t>[R12] EAU Non-muscle-invasive Bladder Cancer。EAU，2026；适用：非肌层浸润性膀胱癌。核验范围：病理取材与逼尿肌信息。</w:t>
      </w:r>
    </w:p>
    <w:p>
      <w:r>
        <w:t>https://uroweb.org/guidelines/non-muscle-invasive-bladder-cancer/chapter/diagnosis</w:t>
      </w:r>
    </w:p>
    <w:p>
      <w:r>
        <w:t>[R13] EAU Muscle-invasive and Metastatic Bladder Cancer。EAU，2026；适用：肌层浸润及转移膀胱癌。核验范围：多学科及治疗阶段边界。</w:t>
      </w:r>
    </w:p>
    <w:p>
      <w:r>
        <w:t>https://uroweb.org/guidelines/muscle-invasive-and-metastatic-bladder-cancer/chapter/disease-management</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p>
      <w:pPr>
        <w:pStyle w:val="Heading1"/>
      </w:pPr>
      <w:r>
        <w:t>补充版本核验与应用边界</w:t>
      </w:r>
    </w:p>
    <w:p>
      <w:r>
        <w:t>[S01] UICC TNM第9版版本管理。UICC，2025发布，建议2026年1月1日起生效；适用于恶性肿瘤分期版本管理。核验日期2026年10月29日；官方发布与生效建议已核验，未据此补齐患者分期。</w:t>
        <w:br/>
        <w:t>https://www.uicc.org/resources/tnm/publications-resources</w:t>
      </w:r>
    </w:p>
    <w:p>
      <w:r>
        <w:t>明确保存医院采用版次；旧报告按其原体系保留。院内执行版本与报告不同，须由临床及病理核实，禁止自动映射或改写分期。</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104_膀胱肿瘤及尿路上皮癌专病模板库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