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泌尿外科AI自动调用路由与病例状态管理规则库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模块职责：泌尿外科AI自动调用路由与病例状态管理规则库。使用时先核对患者及本次住院，再按任务加载；任何正式文书须经10终审和医师审核。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患者状态字段及身份隔离</w:t>
        <w:tab/>
        <w:t>3</w:t>
      </w:r>
    </w:p>
    <w:p>
      <w:pPr>
        <w:pStyle w:val="TOCCache"/>
        <w:tabs>
          <w:tab w:pos="9354" w:val="right" w:leader="dot"/>
        </w:tabs>
      </w:pPr>
      <w:r>
        <w:t>状态迁移约束</w:t>
        <w:tab/>
        <w:t>4</w:t>
      </w:r>
    </w:p>
    <w:p>
      <w:pPr>
        <w:pStyle w:val="TOCCache"/>
        <w:tabs>
          <w:tab w:pos="9354" w:val="right" w:leader="dot"/>
        </w:tabs>
      </w:pPr>
      <w:r>
        <w:t>连续及多事件时间轴</w:t>
        <w:tab/>
        <w:t>4</w:t>
      </w:r>
    </w:p>
    <w:p>
      <w:pPr>
        <w:pStyle w:val="TOCCache"/>
        <w:tabs>
          <w:tab w:pos="9354" w:val="right" w:leader="dot"/>
        </w:tabs>
      </w:pPr>
      <w:r>
        <w:t>术后计日与信息可用时间</w:t>
        <w:tab/>
        <w:t>4</w:t>
      </w:r>
    </w:p>
    <w:p>
      <w:pPr>
        <w:pStyle w:val="TOCCache"/>
        <w:tabs>
          <w:tab w:pos="9354" w:val="right" w:leader="dot"/>
        </w:tabs>
      </w:pPr>
      <w:r>
        <w:t>冲突与修订示例</w:t>
        <w:tab/>
        <w:t>4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5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5</w:t>
      </w:r>
    </w:p>
    <w:p>
      <w:pPr>
        <w:pStyle w:val="TOCCache"/>
        <w:tabs>
          <w:tab w:pos="9354" w:val="right" w:leader="dot"/>
        </w:tabs>
      </w:pPr>
      <w:r>
        <w:t>模块协同</w:t>
        <w:tab/>
        <w:t>5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5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患者状态字段及身份隔离</w:t>
      </w:r>
    </w:p>
    <w:p>
      <w:r>
        <w:t>patient_id encounter_id：可靠患者身份及本次住院；同名、床号改变及再住院需交叉核验</w:t>
      </w:r>
    </w:p>
    <w:p>
      <w:r>
        <w:t>lesion_id organ segment laterality：每侧每处结石或肿瘤独立；大小数量和测量日期来源绑定</w:t>
      </w:r>
    </w:p>
    <w:p>
      <w:r>
        <w:t>fact_id event_time record_time source verification：发生、发现、采集和回报时间分开；来源可靠程度和核验结论</w:t>
      </w:r>
    </w:p>
    <w:p>
      <w:r>
        <w:t>diagnosis evidence certainty version：待查、考虑、确诊、排除与修正及各自可用时间</w:t>
      </w:r>
    </w:p>
    <w:p>
      <w:r>
        <w:t>creatinine eGFR urine_volume PVR voiding：单位、窗口、采样及测量条件；冲洗差值须注明估算</w:t>
      </w:r>
    </w:p>
    <w:p>
      <w:r>
        <w:t>study specimen pathology stage：申请、采集/完成、初步回报、最终、修订；病理取材和分期体系</w:t>
      </w:r>
    </w:p>
    <w:p>
      <w:r>
        <w:t>procedure_id state actual_name side times：每台手术独立，计划、决定、准备、延期、取消、实施和术后</w:t>
      </w:r>
    </w:p>
    <w:p>
      <w:r>
        <w:t>device_id type side site status times：每根支架、导尿、造瘘、引流或改道装置独立，留置和计划移除分开</w:t>
      </w:r>
    </w:p>
    <w:p>
      <w:r>
        <w:t>order_id drug dose route administration：拟定、开立、执行、暂停、停止、取消及真实时间</w:t>
      </w:r>
    </w:p>
    <w:p>
      <w:r>
        <w:t>senior_opinion consent consult：意见者、层级、到场及时间和真实内容；签署及执行分别核实</w:t>
      </w:r>
    </w:p>
    <w:p>
      <w:r>
        <w:t>discharge followup unresolved：当前诊断、装置、带药和未回结果及责任人</w:t>
      </w:r>
    </w:p>
    <w:p>
      <w:pPr>
        <w:pStyle w:val="Heading1"/>
      </w:pPr>
      <w:r>
        <w:t>状态迁移约束</w:t>
      </w:r>
    </w:p>
    <w:p>
      <w:r>
        <w:t>仅真实事件驱动状态更新：提出建议不自动到计划；计划不自动到医嘱；医嘱不自动到执行。手术拟定→决定→准备可延期/取消；只有实际操作记录才能标实施。检查申请→完成→回报各有时间。管道置入→留置→更换或移除，计划拔除不改变当前留置。更换需关闭旧device_id并创建新事件。</w:t>
      </w:r>
    </w:p>
    <w:p>
      <w:pPr>
        <w:pStyle w:val="Heading1"/>
      </w:pPr>
      <w:r>
        <w:t>连续及多事件时间轴</w:t>
      </w:r>
    </w:p>
    <w:p>
      <w:r>
        <w:t>结石：引流支架/造瘘→感染或梗阻复评→分期碎石→残石复查→实际拔除。肿瘤：影像→内镜/穿刺→手术→病理回报→诊断修正→后续治疗。前列腺：PSA→MRI→穿刺→病理→风险及治疗→PSA复查。膀胱：膀胱镜→TURBT→病理→再次治疗评估→实际灌注或其他治疗→复查。各箭头只表示可能顺序，不表示已完成。</w:t>
      </w:r>
    </w:p>
    <w:p>
      <w:pPr>
        <w:pStyle w:val="Heading1"/>
      </w:pPr>
      <w:r>
        <w:t>术后计日与信息可用时间</w:t>
      </w:r>
    </w:p>
    <w:p>
      <w:r>
        <w:t>使用本次实际procedure_id及医院登记手术日期；自然日差0为手术日，1为术后第1日，跨午夜须核对院内口径。多侧分期、多次手术各算，不以最近任意手术替换。写历史日期文书时仅使用当时已可用信息；晚回报病理不能进入早期净稿。</w:t>
      </w:r>
    </w:p>
    <w:p>
      <w:pPr>
        <w:pStyle w:val="Heading1"/>
      </w:pPr>
      <w:r>
        <w:t>冲突与修订示例</w:t>
      </w:r>
    </w:p>
    <w:p>
      <w:r>
        <w:t>同一device_id同侧同一时间既留置又拔除为冲突；同侧双J管和造瘘管并存本身不是冲突。2026-10-27左侧引流、10-28右侧碎石，10-29应分别为左侧操作后第2日和右侧操作后第1日。任何新消息先判身份与事件；保留原值、修订值、依据、核验者和时间，不静默覆盖。</w:t>
      </w:r>
    </w:p>
    <w:p>
      <w:pPr>
        <w:keepNext/>
      </w:pPr>
      <w:r>
        <w:t>【记录日期时间】 状态核对后的日常病程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患者【当日状态】；【检查与管道、肾功能变化】。目前【各操作与治疗的实际状态】，根据【当时可用证据】考虑【判断】，拟【经确认计划】。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以下为虚构模拟资料，只演示文书规则。虚构U001，右输尿管结石，仅拟行操作。</w:t>
      </w:r>
    </w:p>
    <w:p>
      <w:pPr>
        <w:keepNext/>
      </w:pPr>
      <w:r>
        <w:t>2026年10月29日 16:00 日常病程记录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患者右输尿管结石，目前拟行进一步治疗，现有资料未证实操作已经实施。拟核实相关检查及术前准备后，由主管医师进一步确认方案。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试行。国家卫生计生委等，2017；适用：实施电子病历的机构。核验范围：公报正文与身份权限管理。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进一步加强医疗机构电子病历信息使用管理的通知。国家卫生健康委等，2025；适用：中国医疗机构。核验范围：权限及使用管理。</w:t>
      </w:r>
    </w:p>
    <w:p>
      <w:r>
        <w:t>https://www.nhc.gov.cn/yzygj/c100068/202506/c68abee7c54b4651a774cd533761780b.shtml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11_泌尿外科AI自动调用路由与病例状态管理规则库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