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03 康复功能评定ICF框架肌力关节活动度及ADL模板库</w:t>
      </w:r>
    </w:p>
    <w:p>
      <w:pPr>
        <w:pStyle w:val="Subtitle"/>
      </w:pPr>
      <w:r>
        <w:t>V1.0  第二级规则库</w:t>
      </w:r>
    </w:p>
    <w:p>
      <w:r>
        <w:t>创建与核验基准  2026年10月31日</w:t>
      </w:r>
    </w:p>
    <w:p>
      <w:r>
        <w:t>建立ICF问题表、实测功能、量表版本及可比性规则。正文提供临床资料契约、专业规则、可填充模板、完整虚构病例与质量控制。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ICF六维分析及临床关联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功能评定逐项执行规则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量表数据合同与纵向比较</w:t>
        </w:r>
      </w:hyperlink>
      <w:r>
        <w:tab/>
        <w:t>10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基线 目标 复评与治疗决策</w:t>
        </w:r>
      </w:hyperlink>
      <w:r>
        <w:tab/>
        <w:t>10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结构化功能评定模板</w:t>
        </w:r>
      </w:hyperlink>
      <w:r>
        <w:tab/>
        <w:t>11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完整虚构病例与书写演示</w:t>
        </w:r>
      </w:hyperlink>
      <w:r>
        <w:tab/>
        <w:t>11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输出格式与真实性限制</w:t>
        </w:r>
      </w:hyperlink>
      <w:r>
        <w:tab/>
        <w:t>12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常见错误与最终质控清单</w:t>
        </w:r>
      </w:hyperlink>
      <w:r>
        <w:tab/>
        <w:t>12</w:t>
      </w:r>
    </w:p>
    <w:p>
      <w:pPr>
        <w:tabs>
          <w:tab w:pos="9184" w:val="right" w:leader="dot"/>
        </w:tabs>
        <w:spacing w:after="80" w:line="264" w:lineRule="auto"/>
      </w:pPr>
      <w:hyperlink w:anchor="sec10">
        <w:r>
          <w:rPr>
            <w:color w:val="000000"/>
          </w:rPr>
          <w:t>模块协同关系</w:t>
        </w:r>
      </w:hyperlink>
      <w:r>
        <w:tab/>
        <w:t>12</w:t>
      </w:r>
    </w:p>
    <w:p>
      <w:pPr>
        <w:tabs>
          <w:tab w:pos="9184" w:val="right" w:leader="dot"/>
        </w:tabs>
        <w:spacing w:after="80" w:line="264" w:lineRule="auto"/>
      </w:pPr>
      <w:hyperlink w:anchor="sec11">
        <w:r>
          <w:rPr>
            <w:color w:val="000000"/>
          </w:rPr>
          <w:t>指南与规范核验</w:t>
        </w:r>
      </w:hyperlink>
      <w:r>
        <w:tab/>
        <w:t>13</w:t>
      </w:r>
    </w:p>
    <w:p>
      <w:pPr>
        <w:tabs>
          <w:tab w:pos="9184" w:val="right" w:leader="dot"/>
        </w:tabs>
        <w:spacing w:after="80" w:line="264" w:lineRule="auto"/>
      </w:pPr>
      <w:hyperlink w:anchor="sec12">
        <w:r>
          <w:rPr>
            <w:color w:val="000000"/>
          </w:rPr>
          <w:t>版本更新与使用维护</w:t>
        </w:r>
      </w:hyperlink>
      <w:r>
        <w:tab/>
        <w:t>14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功能定位：建立ICF问题表、实测功能、量表版本及可比性规则。本模块面向中国医院康复医师及具备权限的相关专业人员，作为医师审核前的规则与文书草稿库。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ICF六维分析及临床关联</w:t>
      </w:r>
      <w:bookmarkEnd w:id="2"/>
    </w:p>
    <w:p>
      <w:r>
        <w:t>身体功能记录运动控制、感觉、吞咽、认知、心肺等实际障碍；身体结构记录病灶和损伤证据；活动记录具体任务在现实条件下的表现；参与记录家庭、工作、学校或社会角色；环境记录辅具、建筑和照护支持的促进或阻碍；个人因素记录年龄、背景、偏好及学习条件，不擅造统一编码。</w:t>
      </w:r>
    </w:p>
    <w:p>
      <w:r>
        <w:t>ICF问题表字段：problem_id、健康状况、身体结构或功能证据、活动任务、现实表现、标准条件下能力、参与目标、环境因素、个人背景、资料时间、优先级和责任团队。表现与能力需区分，家属代做与患者能力不能混为一项。</w:t>
      </w:r>
    </w:p>
    <w:p>
      <w:r>
        <w:t>编码与限定值只在正式分类、适用版本和实际评定支持下由专业人员确定。Barthel、Fugl-Meyer等总分不能机械换算成ICF限定值；没有完整编码时使用清晰临床叙述也可。</w:t>
      </w:r>
    </w:p>
    <w:p>
      <w:bookmarkStart w:id="3" w:name="sec3"/>
      <w:pPr>
        <w:pStyle w:val="Heading1"/>
      </w:pPr>
      <w:r>
        <w:t>功能评定逐项执行规则</w:t>
      </w:r>
      <w:bookmarkEnd w:id="3"/>
    </w:p>
    <w:p>
      <w:pPr>
        <w:pStyle w:val="Heading2"/>
      </w:pPr>
      <w:r>
        <w:t>01 MMT与肌力</w:t>
      </w:r>
    </w:p>
    <w:p>
      <w:r>
        <w:t>必需原始变量：具体肌或肌群、侧别、体位、抗重力与阻力、疼痛和代偿、实际等级。</w:t>
      </w:r>
    </w:p>
    <w:p>
      <w:r>
        <w:t>解释与真实性限制：MMT为有序等级，不能将3级到4级解释为提高33%；不同肌群不能合成笼统全肢肌力。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02 主动与被动ROM</w:t>
      </w:r>
    </w:p>
    <w:p>
      <w:r>
        <w:t>必需原始变量：关节、侧别、运动平面、体位、测量工具、起止角度和单位、疼痛及终末感。</w:t>
      </w:r>
    </w:p>
    <w:p>
      <w:r>
        <w:t>解释与真实性限制：主动活动受限与固定挛缩不同；未获许可不能为了填表强行被动测量。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03 肌张力及改良Ashworth</w:t>
      </w:r>
    </w:p>
    <w:p>
      <w:r>
        <w:t>必需原始变量：肌群、侧别、测试姿势、关节运动条件、具体量表及等级。</w:t>
      </w:r>
    </w:p>
    <w:p>
      <w:r>
        <w:t>解释与真实性限制：区分1与1+；张力变化不等于活动改善，挛缩、疼痛和速度影响需说明。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04 疼痛与感觉</w:t>
      </w:r>
    </w:p>
    <w:p>
      <w:r>
        <w:t>必需原始变量：静息或活动场景、量表名称、疼痛部位、性质、诱发和缓解因素；浅深感觉与本体感觉方法。</w:t>
      </w:r>
    </w:p>
    <w:p>
      <w:r>
        <w:t>解释与真实性限制：VAS与NRS不能未确认互换；无交流能力者不能推定0分。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05 协调反射与运动控制</w:t>
      </w:r>
    </w:p>
    <w:p>
      <w:r>
        <w:t>必需原始变量：指鼻或跟膝胫等适用实查、腱反射、病理征、选择性运动和协同模式。</w:t>
      </w:r>
    </w:p>
    <w:p>
      <w:r>
        <w:t>解释与真实性限制：不能因肌力低推定协调障碍；不能凭病灶推定反射或痉挛。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06 围度 稳定性 耐力</w:t>
      </w:r>
    </w:p>
    <w:p>
      <w:r>
        <w:t>必需原始变量：固定解剖标志、测量侧别时间、负荷或重复任务条件、局部稳定性证据。</w:t>
      </w:r>
    </w:p>
    <w:p>
      <w:r>
        <w:t>解释与真实性限制：围度减小不单独诊断肌少症；固定在位不等机械稳定。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07 翻身与床上活动</w:t>
      </w:r>
    </w:p>
    <w:p>
      <w:r>
        <w:t>必需原始变量：起始体位、床面、床栏、口头提示、接触保护或实质帮助及人数。</w:t>
      </w:r>
    </w:p>
    <w:p>
      <w:r>
        <w:t>解释与真实性限制：能在治疗床翻身不能等同家中独立翻身。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08 坐位平衡与坐站</w:t>
      </w:r>
    </w:p>
    <w:p>
      <w:r>
        <w:t>必需原始变量：足部支撑、上肢支撑、保持时间、动态任务、椅高、帮助和症状。</w:t>
      </w:r>
    </w:p>
    <w:p>
      <w:r>
        <w:t>解释与真实性限制：需要保护或支撑时不得写独立完成。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09 站立平衡与转移</w:t>
      </w:r>
    </w:p>
    <w:p>
      <w:r>
        <w:t>必需原始变量：站姿、支撑、器具、转移起终点、方向、助力方式及失败原因。</w:t>
      </w:r>
    </w:p>
    <w:p>
      <w:r>
        <w:t>解释与真实性限制：站立不等于独立行走；轮椅转移要核制动和脚托。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10 步行 楼梯 轮椅</w:t>
      </w:r>
    </w:p>
    <w:p>
      <w:r>
        <w:t>必需原始变量：许可、器具、地面、速度、距离、助力；楼梯台阶和扶手；轮椅操控减压能力。</w:t>
      </w:r>
    </w:p>
    <w:p>
      <w:r>
        <w:t>解释与真实性限制：实际步行和负重授权分离；室内能力不外推户外。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11 Barthel指数与改良Barthel指数</w:t>
      </w:r>
    </w:p>
    <w:p>
      <w:r>
        <w:t>必需原始变量：完整名称、具体版本、原始已评分分项或经签署原表总分、日期、评定者与任务条件。</w:t>
      </w:r>
    </w:p>
    <w:p>
      <w:r>
        <w:t>解释与真实性限制：两者及不同总分制不得混称；有签署总分可原样引用但不伪称独立复算。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12 FIM与实际ADL</w:t>
      </w:r>
    </w:p>
    <w:p>
      <w:r>
        <w:t>必需原始变量：合法使用条件、版本、实际评分者、分项和总分来源；进食穿衣洗漱如厕洗澡转移移动的任务助力。</w:t>
      </w:r>
    </w:p>
    <w:p>
      <w:r>
        <w:t>解释与真实性限制：未取得使用条件时改用实际任务描述，不复印完整题项或自行替代评分。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13 Brunnstrom分期</w:t>
      </w:r>
    </w:p>
    <w:p>
      <w:r>
        <w:t>必需原始变量：上肢、手、下肢分别记录，实查协同与分离运动证据、评定版本和人员。</w:t>
      </w:r>
    </w:p>
    <w:p>
      <w:r>
        <w:t>解释与真实性限制：不是肌力等级，不从“偏瘫”或一个动作自动填各肢分期。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14 Fugl Meyer</w:t>
      </w:r>
    </w:p>
    <w:p>
      <w:r>
        <w:t>必需原始变量：运动域或完整评定、版本、上肢下肢分项、疼痛ROM等是否纳入、实际原表。</w:t>
      </w:r>
    </w:p>
    <w:p>
      <w:r>
        <w:t>解释与真实性限制：运动总分和完整量表总分不可混用；缺项不按比例外推总分。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15 Berg平衡量表</w:t>
      </w:r>
    </w:p>
    <w:p>
      <w:r>
        <w:t>必需原始变量：版本、逐项实际记录或签署总分、使用辅具和非标准条件。</w:t>
      </w:r>
    </w:p>
    <w:p>
      <w:r>
        <w:t>解释与真实性限制：有天花板效应或任务不安全应说明；不以统一阈值替代跌倒判断。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16 FAC</w:t>
      </w:r>
    </w:p>
    <w:p>
      <w:r>
        <w:t>必需原始变量：实际人力帮助、接触或监督、行走环境和版本。</w:t>
      </w:r>
    </w:p>
    <w:p>
      <w:r>
        <w:t>解释与真实性限制：FAC不是距离量表；有器具能走不等于任意环境独立。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17 TUG</w:t>
      </w:r>
    </w:p>
    <w:p>
      <w:r>
        <w:t>必需原始变量：起坐椅、距离与标准方案、常用器具、鞋、帮助、试次、时间单位和安全性。</w:t>
      </w:r>
    </w:p>
    <w:p>
      <w:r>
        <w:t>解释与真实性限制：无法安全完成写未完成及原因，不填0秒或估测。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18 六分钟步行试验</w:t>
      </w:r>
    </w:p>
    <w:p>
      <w:r>
        <w:t>必需原始变量：适应性与许可、场地和折返点、器具、氧流量及装置、距离、休息、症状和前后监测。</w:t>
      </w:r>
    </w:p>
    <w:p>
      <w:r>
        <w:t>解释与真实性限制：场地和氧疗条件改变影响可比性，不据诊断估距离或自行改变氧疗。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19 步态时空参数</w:t>
      </w:r>
    </w:p>
    <w:p>
      <w:r>
        <w:t>必需原始变量：测量系统、速度条件、步长步宽步频及对称性、器具和助力。</w:t>
      </w:r>
    </w:p>
    <w:p>
      <w:r>
        <w:t>解释与真实性限制：不同系统或步速条件不得直接归因康复疗效。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20 ISNCSCI与AIS</w:t>
      </w:r>
    </w:p>
    <w:p>
      <w:r>
        <w:t>必需原始变量：正式版本、双侧感觉运动原始检查、骶段检查、非SCI影响、不可测及分类者结论。</w:t>
      </w:r>
    </w:p>
    <w:p>
      <w:r>
        <w:t>解释与真实性限制：影像节段不等于神经平面；本库不内置未核实的2026算法，不用旧算法自动补分类。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21 SCIM及SCI独立性</w:t>
      </w:r>
    </w:p>
    <w:p>
      <w:r>
        <w:t>必需原始变量：工具版本、分领域实际任务、评定日期和授权条件核对。</w:t>
      </w:r>
    </w:p>
    <w:p>
      <w:r>
        <w:t>解释与真实性限制：神经分级不变也可有生活能力改善；SCIM不能从AIS推算。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22 MMSE与MoCA</w:t>
      </w:r>
    </w:p>
    <w:p>
      <w:r>
        <w:t>必需原始变量：版本语言、教育、感觉运动及语言限制、施测资格与许可、原表及有效性。</w:t>
      </w:r>
    </w:p>
    <w:p>
      <w:r>
        <w:t>解释与真实性限制：不内置版权题项；筛查结果不直接确诊痴呆或认知障碍分型。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23 吞咽筛查及临床评估</w:t>
      </w:r>
    </w:p>
    <w:p>
      <w:r>
        <w:t>必需原始变量：筛查工具、适用性、意识体位、口腔气道状态、进食条件、呛咳湿嗓和异常。</w:t>
      </w:r>
    </w:p>
    <w:p>
      <w:r>
        <w:t>解释与真实性限制：通过筛查仍不能排除隐匿误吸，不代表完成VFSS或FEES。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24 语言言语及交流</w:t>
      </w:r>
    </w:p>
    <w:p>
      <w:r>
        <w:t>必需原始变量：语言理解表达、复述命名读写的实际任务；发声构音流畅和交流方式。</w:t>
      </w:r>
    </w:p>
    <w:p>
      <w:r>
        <w:t>解释与真实性限制：失语、构音障碍、言语失用分别评估，不凭病灶分型。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25 社会参与与环境</w:t>
      </w:r>
    </w:p>
    <w:p>
      <w:r>
        <w:t>必需原始变量：职业学校家庭角色、频率、满意度、环境障碍或促进因素及来源。</w:t>
      </w:r>
    </w:p>
    <w:p>
      <w:r>
        <w:t>解释与真实性限制：个人背景作临床叙述，不假设具有统一正式ICF个人因素代码。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pPr>
        <w:pStyle w:val="Heading2"/>
      </w:pPr>
      <w:r>
        <w:t>26 跌倒及心理风险</w:t>
      </w:r>
    </w:p>
    <w:p>
      <w:r>
        <w:t>必需原始变量：真实跌倒史、药物、视听、认知、直立耐受、步态环境；情绪筛查和专业评估。</w:t>
      </w:r>
    </w:p>
    <w:p>
      <w:r>
        <w:t>解释与真实性限制：风险与已发生事件分开；单量表不替代综合判断或精神科诊断。</w:t>
      </w:r>
    </w:p>
    <w:p>
      <w:r>
        <w:t>记录结构：项目、日期、评定者、版本、方法与条件、实际结果、单位、未测原因、对活动的意义和复评计划。只有所需变量齐全并核实正式规则才允许计算；已有签署总分但分项未见，标“引用原评定结果，未独立复算”。</w:t>
      </w:r>
    </w:p>
    <w:p>
      <w:bookmarkStart w:id="4" w:name="sec4"/>
      <w:pPr>
        <w:pStyle w:val="Heading1"/>
      </w:pPr>
      <w:r>
        <w:t>量表数据合同与纵向比较</w:t>
      </w:r>
      <w:bookmarkEnd w:id="4"/>
    </w:p>
    <w:p>
      <w:r>
        <w:t>每一评定有独立assessment_id，保存量表名称、版本、语言、授权状态、资格要求、施测时间、记录者、原始数据、总分出处、是否完成、非标准条件、效度和来源。状态分未评、计划、部分完成、有效完成、不可完成、无效或待核。无效不等于0分。</w:t>
      </w:r>
    </w:p>
    <w:p>
      <w:r>
        <w:t>仅当同患者、适当住院关联、同工具同版本同领域且条件可比，才计算差值；即使同分也可能任务条件不同。缺少基线时写当前功能，不用“提高”；不同版本可以并列描述，未经验证不做换算。MCID、MDC或正常阈值需适用人群、版本和具体来源，未核不填写。</w:t>
      </w:r>
    </w:p>
    <w:p>
      <w:bookmarkStart w:id="5" w:name="sec5"/>
      <w:pPr>
        <w:pStyle w:val="Heading1"/>
      </w:pPr>
      <w:r>
        <w:t>基线 目标 复评与治疗决策</w:t>
      </w:r>
      <w:bookmarkEnd w:id="5"/>
    </w:p>
    <w:p>
      <w:r>
        <w:t>先用实际任务确定主要生活问题，再用针对性评定解释限制机制。例如膝伸肌力量、坐站控制和家庭椅高共同影响起立，不能只追求量表得分。目标包含任务、条件、帮助程度、期限及来源；量化值由团队根据真实基线拟定，AI不补数值。</w:t>
      </w:r>
    </w:p>
    <w:p>
      <w:r>
        <w:t>评定不能脱离结构保护、骨科负重许可、心肺耐受和吞咽风险；不为完成量表让患者实施禁忌动作。03输出功能事实，由07形成审核中的处方，05追踪实际治疗，09按可比资料复评。</w:t>
      </w:r>
    </w:p>
    <w:p>
      <w:bookmarkStart w:id="6" w:name="sec6"/>
      <w:pPr>
        <w:pStyle w:val="Heading1"/>
      </w:pPr>
      <w:r>
        <w:t>结构化功能评定模板</w:t>
      </w:r>
      <w:bookmarkEnd w:id="6"/>
    </w:p>
    <w:p>
      <w:r>
        <w:t>【文书日期及时间】 康复功能评定</w:t>
      </w:r>
    </w:p>
    <w:p>
      <w:pPr>
        <w:pStyle w:val="Code"/>
      </w:pPr>
      <w:r>
        <w:t>```text</w:t>
      </w:r>
    </w:p>
    <w:p>
      <w:pPr>
        <w:pStyle w:val="Code"/>
      </w:pPr>
      <w:r>
        <w:t>评定ID及人员：【资料】</w:t>
      </w:r>
    </w:p>
    <w:p>
      <w:pPr>
        <w:pStyle w:val="Code"/>
      </w:pPr>
      <w:r>
        <w:t>评定时点与阶段：【内容】</w:t>
      </w:r>
    </w:p>
    <w:p>
      <w:pPr>
        <w:pStyle w:val="Code"/>
      </w:pPr>
      <w:r>
        <w:t>身体功能结构：【实查及证据】</w:t>
      </w:r>
    </w:p>
    <w:p>
      <w:pPr>
        <w:pStyle w:val="Code"/>
      </w:pPr>
      <w:r>
        <w:t>活动与参与：【任务、条件、助力及限制】</w:t>
      </w:r>
    </w:p>
    <w:p>
      <w:pPr>
        <w:pStyle w:val="Code"/>
      </w:pPr>
      <w:r>
        <w:t>环境与个人因素：【来源】</w:t>
      </w:r>
    </w:p>
    <w:p>
      <w:pPr>
        <w:pStyle w:val="Code"/>
      </w:pPr>
      <w:r>
        <w:t>量表及版本：【已完成结果或未测原因】</w:t>
      </w:r>
    </w:p>
    <w:p>
      <w:pPr>
        <w:pStyle w:val="Code"/>
      </w:pPr>
      <w:r>
        <w:t>ICF问题列表：【问题与证据关联】</w:t>
      </w:r>
    </w:p>
    <w:p>
      <w:pPr>
        <w:pStyle w:val="Code"/>
      </w:pPr>
      <w:r>
        <w:t>目标及复评：【待确认或已确认计划】</w:t>
      </w:r>
    </w:p>
    <w:p>
      <w:pPr>
        <w:pStyle w:val="Code"/>
      </w:pPr>
      <w:r>
        <w:t>```</w:t>
      </w:r>
    </w:p>
    <w:p>
      <w:bookmarkStart w:id="7" w:name="sec7"/>
      <w:pPr>
        <w:pStyle w:val="Heading1"/>
      </w:pPr>
      <w:r>
        <w:t>完整虚构病例与书写演示</w:t>
      </w:r>
      <w:bookmarkEnd w:id="7"/>
    </w:p>
    <w:p>
      <w:r>
        <w:t>本节资料全部虚构，仅用于教学和规则测试，禁止并入真实患者记录。</w:t>
      </w:r>
    </w:p>
    <w:p>
      <w:r>
        <w:t>虚构患者SIM004，住院SIM004-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同一模拟治疗师于10月20日和10月30日以同椅高及相同保护条件评估，前者需两人帮助，后者需一人帮助；可描述转移帮助减少，不能换算Barthel增分。</w:t>
      </w:r>
    </w:p>
    <w:p>
      <w:r>
        <w:t>2026年10月31日 09:00 功能复评记录</w:t>
      </w:r>
    </w:p>
    <w:p>
      <w:pPr>
        <w:pStyle w:val="Code"/>
      </w:pPr>
      <w:r>
        <w:t>```text</w:t>
      </w:r>
    </w:p>
    <w:p>
      <w:pPr>
        <w:pStyle w:val="Code"/>
      </w:pPr>
      <w:r>
        <w:t>在同椅高和相同保护条件下，床椅转移由10月20日需两人帮助变为10月30日需一人帮助，提示该任务的人力帮助需求减少。未完成标准化ADL量表，不生成Barthel指数或FIM评分；社区独立生活能力仍需评估。</w:t>
      </w:r>
    </w:p>
    <w:p>
      <w:pPr>
        <w:pStyle w:val="Code"/>
      </w:pPr>
      <w:r>
        <w:t>```</w:t>
      </w:r>
    </w:p>
    <w:p>
      <w:bookmarkStart w:id="8" w:name="sec8"/>
      <w:pPr>
        <w:pStyle w:val="Heading1"/>
      </w:pPr>
      <w:r>
        <w:t>输出格式与真实性限制</w:t>
      </w:r>
      <w:bookmarkEnd w:id="8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9" w:name="sec9"/>
      <w:pPr>
        <w:pStyle w:val="Heading1"/>
      </w:pPr>
      <w:r>
        <w:t>常见错误与最终质控清单</w:t>
      </w:r>
      <w:bookmarkEnd w:id="9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10" w:name="sec10"/>
      <w:pPr>
        <w:pStyle w:val="Heading1"/>
      </w:pPr>
      <w:r>
        <w:t>模块协同关系</w:t>
      </w:r>
      <w:bookmarkEnd w:id="10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11" w:name="sec11"/>
      <w:pPr>
        <w:pStyle w:val="Heading1"/>
      </w:pPr>
      <w:r>
        <w:t>指南与规范核验</w:t>
      </w:r>
      <w:bookmarkEnd w:id="11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R05 基于国际功能 残疾和健康分类的结构化康复病例书写指南 第1部分 总则</w:t>
      </w:r>
    </w:p>
    <w:p>
      <w:r>
        <w:t>发布机构：上海市康复医学会。版本年份：T/SRMA 40.1—2025。文件性质：团体标准。适用范围：ICF结构化康复病例。</w:t>
      </w:r>
    </w:p>
    <w:p>
      <w:r>
        <w:t>核验日期：2026年10月31日。核验范围与限制：平台PDF可读；检索出现2026版线索，替代关系未获一手确认，2025仅作已核历史依据。</w:t>
      </w:r>
    </w:p>
    <w:p>
      <w:r>
        <w:t>与本库相关规则：采用可追溯功能问题、目标及团队干预框架；非强制性国家标准。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R10 International Standards for Neurological Classification of Spinal Cord Injury</w:t>
      </w:r>
    </w:p>
    <w:p>
      <w:r>
        <w:t>发布机构：ASIA ISCoS相关专家。版本年份：9th edition 2026 DOI 10.46292/sci26-00067。文件性质：正式分类标准。适用范围：脊髓损伤神经学分类。</w:t>
      </w:r>
    </w:p>
    <w:p>
      <w:r>
        <w:t>核验日期：2026年10月31日。核验范围与限制：ASIA官网确认2026版及许可；DOI全文请求403，未核全部新版变化；中文2026授权版未取得。</w:t>
      </w:r>
    </w:p>
    <w:p>
      <w:r>
        <w:t>与本库相关规则：不内置旧版分类算法冒充2026；正式分类保留版本和原始检查。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R24 MoCA Permission and Training Certification</w:t>
      </w:r>
    </w:p>
    <w:p>
      <w:r>
        <w:t>发布机构：MoCA Cognition。版本年份：官网现行条款 2026-10-31核验。文件性质：量表权利与资格条款。适用范围：MoCA获取 使用及复制。</w:t>
      </w:r>
    </w:p>
    <w:p>
      <w:r>
        <w:t>核验日期：2026年10月31日。核验范围与限制：官网许可页与培训页存在适用情境差异，应按当前用途逐项确认。</w:t>
      </w:r>
    </w:p>
    <w:p>
      <w:r>
        <w:t>与本库相关规则：不内置完整题项；不一概宣称任何场景均免认证或均需同一认证。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R25 Mini Mental State Examination product and licensing</w:t>
      </w:r>
    </w:p>
    <w:p>
      <w:r>
        <w:t>发布机构：PAR。版本年份：官网现行条款 2026-10-31核验。文件性质：量表权利条款。适用范围：MMSE及翻译 修改 电子化。</w:t>
      </w:r>
    </w:p>
    <w:p>
      <w:r>
        <w:t>核验日期：2026年10月31日。核验范围与限制：权利方产品与许可页面核实。</w:t>
      </w:r>
    </w:p>
    <w:p>
      <w:r>
        <w:t>与本库相关规则：不复制完整题目或自制译本；本库只保存已合法评定的结果元数据。</w:t>
      </w:r>
    </w:p>
    <w:p>
      <w:r>
        <w:t>证据来源：</w:t>
      </w:r>
      <w:hyperlink r:id="rId16">
        <w:r>
          <w:rPr>
            <w:color w:val="000000"/>
          </w:rPr>
          <w:t>打开原始发布页面</w:t>
        </w:r>
      </w:hyperlink>
    </w:p>
    <w:p>
      <w:bookmarkStart w:id="12" w:name="sec12"/>
      <w:pPr>
        <w:pStyle w:val="Heading1"/>
      </w:pPr>
      <w:r>
        <w:t>版本更新与使用维护</w:t>
      </w:r>
      <w:bookmarkEnd w:id="12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03模块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gfxwj/201105/0fa3554447e84949aa129e88bb1cc7b6.shtml" TargetMode="External"/><Relationship Id="rId12" Type="http://schemas.openxmlformats.org/officeDocument/2006/relationships/hyperlink" Target="https://www.ttbz.org.cn/upload/file/20250708/6388758787613481814121745.pdf" TargetMode="External"/><Relationship Id="rId13" Type="http://schemas.openxmlformats.org/officeDocument/2006/relationships/hyperlink" Target="https://www.who.int/standards/classifications/international-classification-of-functioning-disability-and-health" TargetMode="External"/><Relationship Id="rId14" Type="http://schemas.openxmlformats.org/officeDocument/2006/relationships/hyperlink" Target="https://asia-spinalinjury.org/international-standards-neurological-classification-sci-isncsci-worksheet/" TargetMode="External"/><Relationship Id="rId15" Type="http://schemas.openxmlformats.org/officeDocument/2006/relationships/hyperlink" Target="https://mocacognition.com/training-certification/" TargetMode="External"/><Relationship Id="rId16" Type="http://schemas.openxmlformats.org/officeDocument/2006/relationships/hyperlink" Target="https://www.parinc.com/products/M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康复功能评定ICF框架肌力关节活动度及ADL模板库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