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04 康复医学科检验影像电生理吞咽及特殊检查分析模板库</w:t>
      </w:r>
    </w:p>
    <w:p>
      <w:pPr>
        <w:pStyle w:val="Subtitle"/>
      </w:pPr>
      <w:r>
        <w:t>V1.0  第二级规则库</w:t>
      </w:r>
    </w:p>
    <w:p>
      <w:r>
        <w:t>创建与核验基准  2026年10月31日</w:t>
      </w:r>
    </w:p>
    <w:p>
      <w:r>
        <w:t>区分原始报告整理和临床功能意义分析。正文提供临床资料契约、专业规则、可填充模板、完整虚构病例与质量控制。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双模式和证据分层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检查类别及康复意义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检查影响康复的表达</w:t>
        </w:r>
      </w:hyperlink>
      <w:r>
        <w:tab/>
        <w:t>6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报告整理与临床分析模板</w:t>
        </w:r>
      </w:hyperlink>
      <w:r>
        <w:tab/>
        <w:t>6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完整虚构病例与书写演示</w:t>
        </w:r>
      </w:hyperlink>
      <w:r>
        <w:tab/>
        <w:t>6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输出格式与真实性限制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常见错误与最终质控清单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模块协同关系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10">
        <w:r>
          <w:rPr>
            <w:color w:val="000000"/>
          </w:rPr>
          <w:t>指南与规范核验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11">
        <w:r>
          <w:rPr>
            <w:color w:val="000000"/>
          </w:rPr>
          <w:t>版本更新与使用维护</w:t>
        </w:r>
      </w:hyperlink>
      <w:r>
        <w:tab/>
        <w:t>10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功能定位：区分原始报告整理和临床功能意义分析。本模块面向中国医院康复医师及具备权限的相关专业人员，作为医师审核前的规则与文书草稿库。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双模式和证据分层</w:t>
      </w:r>
      <w:bookmarkEnd w:id="2"/>
    </w:p>
    <w:p>
      <w:r>
        <w:t>原始报告整理模式按采集日期和报告时间整理，保留检查所见、诊断意见及“可能”等限定词。用户要求原文时不修改原文，识别不清处在框外说明。临床分析模式另外说明临床意义、功能关联、局限与需核对事项，不能把分析写进原报告。</w:t>
      </w:r>
    </w:p>
    <w:p>
      <w:r>
        <w:t>证据链为原始所见→报告结论→临床疾病判断→功能评定→治疗决策。每一级都需要其自身依据，不能跨级推断。文书时点早于available_at的检查结果不用于当时确诊。采样、完成检查和结果回报分别管理，未做不能写待回。</w:t>
      </w:r>
    </w:p>
    <w:p>
      <w:bookmarkStart w:id="3" w:name="sec3"/>
      <w:pPr>
        <w:pStyle w:val="Heading1"/>
      </w:pPr>
      <w:r>
        <w:t>检查类别及康复意义</w:t>
      </w:r>
      <w:bookmarkEnd w:id="3"/>
    </w:p>
    <w:p>
      <w:pPr>
        <w:pStyle w:val="Heading2"/>
      </w:pPr>
      <w:r>
        <w:t>血常规 感染与营养</w:t>
      </w:r>
    </w:p>
    <w:p>
      <w:r>
        <w:t>采集核对：血红蛋白、白细胞分类、血小板及单位，感染指标趋势，体重摄入和临床营养评估。</w:t>
      </w:r>
    </w:p>
    <w:p>
      <w:r>
        <w:t>分析限制：单次白蛋白低不单独确诊营养不良，炎症指标不单独确定感染来源；活动风险需临床综合评估。</w:t>
      </w:r>
    </w:p>
    <w:p>
      <w:r>
        <w:t>输出时标注检查时间、证据确定度、对当前功能或安全的影响及临床需确认的问题。</w:t>
      </w:r>
    </w:p>
    <w:p>
      <w:pPr>
        <w:pStyle w:val="Heading2"/>
      </w:pPr>
      <w:r>
        <w:t>电解质 肝肾 血糖 凝血</w:t>
      </w:r>
    </w:p>
    <w:p>
      <w:r>
        <w:t>采集核对：采血时间、参考范围、动态变化、用药和透析等背景。</w:t>
      </w:r>
    </w:p>
    <w:p>
      <w:r>
        <w:t>分析限制：检查异常可能影响活动及治疗安全；不能直接补电解质、抗凝或改药。</w:t>
      </w:r>
    </w:p>
    <w:p>
      <w:r>
        <w:t>输出时标注检查时间、证据确定度、对当前功能或安全的影响及临床需确认的问题。</w:t>
      </w:r>
    </w:p>
    <w:p>
      <w:pPr>
        <w:pStyle w:val="Heading2"/>
      </w:pPr>
      <w:r>
        <w:t>心肌 心功能与血气</w:t>
      </w:r>
    </w:p>
    <w:p>
      <w:r>
        <w:t>采集核对：指标动态、心电症状、采样类型、氧疗或通气条件。</w:t>
      </w:r>
    </w:p>
    <w:p>
      <w:r>
        <w:t>分析限制：生物标志物异常不等于已明确急性事件，结合实际临床判断，急变走06。</w:t>
      </w:r>
    </w:p>
    <w:p>
      <w:r>
        <w:t>输出时标注检查时间、证据确定度、对当前功能或安全的影响及临床需确认的问题。</w:t>
      </w:r>
    </w:p>
    <w:p>
      <w:pPr>
        <w:pStyle w:val="Heading2"/>
      </w:pPr>
      <w:r>
        <w:t>颅脑CT与MRI</w:t>
      </w:r>
    </w:p>
    <w:p>
      <w:r>
        <w:t>采集核对：病灶、侧别、范围、报告确定度和报告回报时间。</w:t>
      </w:r>
    </w:p>
    <w:p>
      <w:r>
        <w:t>分析限制：病灶不能直接推出肌力、吞咽、失语或认知分型。</w:t>
      </w:r>
    </w:p>
    <w:p>
      <w:r>
        <w:t>输出时标注检查时间、证据确定度、对当前功能或安全的影响及临床需确认的问题。</w:t>
      </w:r>
    </w:p>
    <w:p>
      <w:pPr>
        <w:pStyle w:val="Heading2"/>
      </w:pPr>
      <w:r>
        <w:t>脊柱X线CT和MRI</w:t>
      </w:r>
    </w:p>
    <w:p>
      <w:r>
        <w:t>采集核对：椎体骨性节段、脊髓神经压迫、手术和稳定性报告。</w:t>
      </w:r>
    </w:p>
    <w:p>
      <w:r>
        <w:t>分析限制：椎体层面不同于ISNCSCI神经平面，内固定在位不证明融合稳定。</w:t>
      </w:r>
    </w:p>
    <w:p>
      <w:r>
        <w:t>输出时标注检查时间、证据确定度、对当前功能或安全的影响及临床需确认的问题。</w:t>
      </w:r>
    </w:p>
    <w:p>
      <w:pPr>
        <w:pStyle w:val="Heading2"/>
      </w:pPr>
      <w:r>
        <w:t>关节X线 骨科术后与肌骨超声</w:t>
      </w:r>
    </w:p>
    <w:p>
      <w:r>
        <w:t>采集核对：对位、假体固定、修复软组织和报告限制。</w:t>
      </w:r>
    </w:p>
    <w:p>
      <w:r>
        <w:t>分析限制：骨痂不自动等于完全愈合；超声见肌腱连续不代表允许抗阻训练。</w:t>
      </w:r>
    </w:p>
    <w:p>
      <w:r>
        <w:t>输出时标注检查时间、证据确定度、对当前功能或安全的影响及临床需确认的问题。</w:t>
      </w:r>
    </w:p>
    <w:p>
      <w:pPr>
        <w:pStyle w:val="Heading2"/>
      </w:pPr>
      <w:r>
        <w:t>胸部及其他相关影像</w:t>
      </w:r>
    </w:p>
    <w:p>
      <w:r>
        <w:t>采集核对：采集日期、肺部或其他病变与临床背景。</w:t>
      </w:r>
    </w:p>
    <w:p>
      <w:r>
        <w:t>分析限制：影像吸收不能代替氧合、呼吸肌与活动耐力评估。</w:t>
      </w:r>
    </w:p>
    <w:p>
      <w:r>
        <w:t>输出时标注检查时间、证据确定度、对当前功能或安全的影响及临床需确认的问题。</w:t>
      </w:r>
    </w:p>
    <w:p>
      <w:pPr>
        <w:pStyle w:val="Heading2"/>
      </w:pPr>
      <w:r>
        <w:t>肌电图 神经传导与诱发电位</w:t>
      </w:r>
    </w:p>
    <w:p>
      <w:r>
        <w:t>采集核对：检查肌肉神经、侧别、温度或技术限制、原结论和疾病时相。</w:t>
      </w:r>
    </w:p>
    <w:p>
      <w:r>
        <w:t>分析限制：电生理异常不自动确定全部损伤等级或功能预后，结合临床实查。</w:t>
      </w:r>
    </w:p>
    <w:p>
      <w:r>
        <w:t>输出时标注检查时间、证据确定度、对当前功能或安全的影响及临床需确认的问题。</w:t>
      </w:r>
    </w:p>
    <w:p>
      <w:pPr>
        <w:pStyle w:val="Heading2"/>
      </w:pPr>
      <w:r>
        <w:t>VFSS</w:t>
      </w:r>
    </w:p>
    <w:p>
      <w:r>
        <w:t>采集核对：食团质地与量、体位、投照、吞咽时相、残留、喉侵入或误吸及代偿反应。</w:t>
      </w:r>
    </w:p>
    <w:p>
      <w:r>
        <w:t>分析限制：结果只适用于受试条件；PAS等只引用原始评分，不由描述估分。</w:t>
      </w:r>
    </w:p>
    <w:p>
      <w:r>
        <w:t>输出时标注检查时间、证据确定度、对当前功能或安全的影响及临床需确认的问题。</w:t>
      </w:r>
    </w:p>
    <w:p>
      <w:pPr>
        <w:pStyle w:val="Heading2"/>
      </w:pPr>
      <w:r>
        <w:t>FEES</w:t>
      </w:r>
    </w:p>
    <w:p>
      <w:r>
        <w:t>采集核对：分泌物、喉部结构、食团条件、残留、白屏期等观察限制及反应。</w:t>
      </w:r>
    </w:p>
    <w:p>
      <w:r>
        <w:t>分析限制：与VFSS观察窗口不同，不能互称；检查建议与正式饮食许可分离。</w:t>
      </w:r>
    </w:p>
    <w:p>
      <w:r>
        <w:t>输出时标注检查时间、证据确定度、对当前功能或安全的影响及临床需确认的问题。</w:t>
      </w:r>
    </w:p>
    <w:p>
      <w:pPr>
        <w:pStyle w:val="Heading2"/>
      </w:pPr>
      <w:r>
        <w:t>临床吞咽筛查</w:t>
      </w:r>
    </w:p>
    <w:p>
      <w:r>
        <w:t>采集核对：工具和适用条件、意识体位、表现、未完成原因。</w:t>
      </w:r>
    </w:p>
    <w:p>
      <w:r>
        <w:t>分析限制：呛咳不能独立确诊吸入性肺炎，未呛咳不能排除误吸。</w:t>
      </w:r>
    </w:p>
    <w:p>
      <w:r>
        <w:t>输出时标注检查时间、证据确定度、对当前功能或安全的影响及临床需确认的问题。</w:t>
      </w:r>
    </w:p>
    <w:p>
      <w:pPr>
        <w:pStyle w:val="Heading2"/>
      </w:pPr>
      <w:r>
        <w:t>肺功能 呼吸肌与运动耐量</w:t>
      </w:r>
    </w:p>
    <w:p>
      <w:r>
        <w:t>采集核对：设备、方法、前后用药、预计值依据、氧疗、CPET或6MWT条件及实际数据。</w:t>
      </w:r>
    </w:p>
    <w:p>
      <w:r>
        <w:t>分析限制：不将估计值写成实测；不同测试不相互替代，不从诊断直接推运动处方。</w:t>
      </w:r>
    </w:p>
    <w:p>
      <w:r>
        <w:t>输出时标注检查时间、证据确定度、对当前功能或安全的影响及临床需确认的问题。</w:t>
      </w:r>
    </w:p>
    <w:p>
      <w:bookmarkStart w:id="4" w:name="sec4"/>
      <w:pPr>
        <w:pStyle w:val="Heading1"/>
      </w:pPr>
      <w:r>
        <w:t>检查影响康复的表达</w:t>
      </w:r>
      <w:bookmarkEnd w:id="4"/>
    </w:p>
    <w:p>
      <w:r>
        <w:t>检查结果可提示需要暂停、追加评估或调整方向，但真实医嘱状态由07管理，实际执行由05管理。疾病风险严重时06优先；不为了形成完整康复计划而延误急变评估。</w:t>
      </w:r>
    </w:p>
    <w:p>
      <w:r>
        <w:t>ICF分析只能将已证实结构病变与实测功能并列关联，不能把解剖结果直接编码为活动受限程度。目标根据实际任务制定，复评应使用临床指标与功能指标两条证据线。</w:t>
      </w:r>
    </w:p>
    <w:p>
      <w:bookmarkStart w:id="5" w:name="sec5"/>
      <w:pPr>
        <w:pStyle w:val="Heading1"/>
      </w:pPr>
      <w:r>
        <w:t>报告整理与临床分析模板</w:t>
      </w:r>
      <w:bookmarkEnd w:id="5"/>
    </w:p>
    <w:p>
      <w:r>
        <w:t>【文书日期及时间】 检查报告整理</w:t>
      </w:r>
    </w:p>
    <w:p>
      <w:pPr>
        <w:pStyle w:val="Code"/>
      </w:pPr>
      <w:r>
        <w:t>```text</w:t>
      </w:r>
    </w:p>
    <w:p>
      <w:pPr>
        <w:pStyle w:val="Code"/>
      </w:pPr>
      <w:r>
        <w:t>检查项目及时间：【资料】</w:t>
      </w:r>
    </w:p>
    <w:p>
      <w:pPr>
        <w:pStyle w:val="Code"/>
      </w:pPr>
      <w:r>
        <w:t>报告回报时间：【资料】</w:t>
      </w:r>
    </w:p>
    <w:p>
      <w:pPr>
        <w:pStyle w:val="Code"/>
      </w:pPr>
      <w:r>
        <w:t>检查所见：【按原文】</w:t>
      </w:r>
    </w:p>
    <w:p>
      <w:pPr>
        <w:pStyle w:val="Code"/>
      </w:pPr>
      <w:r>
        <w:t>诊断意见：【按原文】</w:t>
      </w:r>
    </w:p>
    <w:p>
      <w:pPr>
        <w:pStyle w:val="Code"/>
      </w:pPr>
      <w:r>
        <w:t>```</w:t>
      </w:r>
    </w:p>
    <w:p>
      <w:r>
        <w:t>【文书日期及时间】 康复相关检查分析</w:t>
      </w:r>
    </w:p>
    <w:p>
      <w:pPr>
        <w:pStyle w:val="Code"/>
      </w:pPr>
      <w:r>
        <w:t>```text</w:t>
      </w:r>
    </w:p>
    <w:p>
      <w:pPr>
        <w:pStyle w:val="Code"/>
      </w:pPr>
      <w:r>
        <w:t>已知检查证据：【日期与确定度】</w:t>
      </w:r>
    </w:p>
    <w:p>
      <w:pPr>
        <w:pStyle w:val="Code"/>
      </w:pPr>
      <w:r>
        <w:t>实际功能证据：【独立评定】</w:t>
      </w:r>
    </w:p>
    <w:p>
      <w:pPr>
        <w:pStyle w:val="Code"/>
      </w:pPr>
      <w:r>
        <w:t>综合分析：【疾病与功能的关联和局限】</w:t>
      </w:r>
    </w:p>
    <w:p>
      <w:pPr>
        <w:pStyle w:val="Code"/>
      </w:pPr>
      <w:r>
        <w:t>安全及下一步：【供医师审核的评估建议或实际确认计划】</w:t>
      </w:r>
    </w:p>
    <w:p>
      <w:pPr>
        <w:pStyle w:val="Code"/>
      </w:pPr>
      <w:r>
        <w:t>```</w:t>
      </w:r>
    </w:p>
    <w:p>
      <w:bookmarkStart w:id="6" w:name="sec6"/>
      <w:pPr>
        <w:pStyle w:val="Heading1"/>
      </w:pPr>
      <w:r>
        <w:t>完整虚构病例与书写演示</w:t>
      </w:r>
      <w:bookmarkEnd w:id="6"/>
    </w:p>
    <w:p>
      <w:r>
        <w:t>本节资料全部虚构，仅用于教学和规则测试，禁止并入真实患者记录。</w:t>
      </w:r>
    </w:p>
    <w:p>
      <w:r>
        <w:t>虚构患者SIM005，住院SIM005-E01，男，62岁，2026年10月20日入院。10月1日发病，转诊资料记录脑梗死恢复期，本次主要目标为改善床椅转移和穿衣。发病前可独立生活，妻子为拟照护者，家有电梯但浴室设施尚未现场核实。病史、查体、处方与治疗分源保存。</w:t>
      </w:r>
    </w:p>
    <w:p>
      <w:r>
        <w:t>10月30日09:00模拟康复医师甲检查：血压128/76 mmHg，心率76次/min，室内空气SpO2 97%，神志清楚；右肘屈肌MMT 3级，右膝伸肌MMT 3级；床椅转移需一人躯干帮助，穿上衣需协助；未完成步行及吞咽专科评定，不推断FAC、饮食质地或吞咽安全。10月1日颅脑MRI报告左侧脑梗死；不能据此补右侧肌力之外未查部位。</w:t>
      </w:r>
    </w:p>
    <w:p>
      <w:r>
        <w:t>10月30日医师确认当前床椅转移训练需一人保护并由PT执行，不授权独立步行。10月30日14:00至14:15模拟PT乙实际开展床椅转移4次，有效练习10分钟、间歇5分钟；第4次需增加帮助，未记录治疗后生命体征，不写耐受良好。OT、ST仅计划评估，无已执行记录。</w:t>
      </w:r>
    </w:p>
    <w:p>
      <w:r>
        <w:t>ICF问题：右侧运动功能下降，转移与穿衣活动受限，无法恢复原工作；照护者支持为潜在促进因素但能力未验证。近期目标为一周内在相同场景和保护条件下减少转移帮助，具体目标水平待团队与患者共同确认；长期目标为安全回归家庭。10月31日尚无新量表，不写评分提高。出院仍为计划，需复核照护者操作、居家卫生间与辅具适配；随访日期待临床确定。</w:t>
      </w:r>
    </w:p>
    <w:p>
      <w:r>
        <w:t>2026年10月31日 09:00 检查分析病程</w:t>
      </w:r>
    </w:p>
    <w:p>
      <w:pPr>
        <w:pStyle w:val="Code"/>
      </w:pPr>
      <w:r>
        <w:t>```text</w:t>
      </w:r>
    </w:p>
    <w:p>
      <w:pPr>
        <w:pStyle w:val="Code"/>
      </w:pPr>
      <w:r>
        <w:t>10月1日MRI报告左侧脑梗死；10月30日实查右肘屈肌和右膝伸肌MMT均为3级，两项证据分别支持病灶及局部运动功能判断。尚无完整步行、吞咽或认知评定，不能依据MRI推定上述功能障碍分型或程度。</w:t>
      </w:r>
    </w:p>
    <w:p>
      <w:pPr>
        <w:pStyle w:val="Code"/>
      </w:pPr>
      <w:r>
        <w:t>```</w:t>
      </w:r>
    </w:p>
    <w:p>
      <w:bookmarkStart w:id="7" w:name="sec7"/>
      <w:pPr>
        <w:pStyle w:val="Heading1"/>
      </w:pPr>
      <w:r>
        <w:t>输出格式与真实性限制</w:t>
      </w:r>
      <w:bookmarkEnd w:id="7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8" w:name="sec8"/>
      <w:pPr>
        <w:pStyle w:val="Heading1"/>
      </w:pPr>
      <w:r>
        <w:t>常见错误与最终质控清单</w:t>
      </w:r>
      <w:bookmarkEnd w:id="8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9" w:name="sec9"/>
      <w:pPr>
        <w:pStyle w:val="Heading1"/>
      </w:pPr>
      <w:r>
        <w:t>模块协同关系</w:t>
      </w:r>
      <w:bookmarkEnd w:id="9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10" w:name="sec10"/>
      <w:pPr>
        <w:pStyle w:val="Heading1"/>
      </w:pPr>
      <w:r>
        <w:t>指南与规范核验</w:t>
      </w:r>
      <w:bookmarkEnd w:id="10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R10 International Standards for Neurological Classification of Spinal Cord Injury</w:t>
      </w:r>
    </w:p>
    <w:p>
      <w:r>
        <w:t>发布机构：ASIA ISCoS相关专家。版本年份：9th edition 2026 DOI 10.46292/sci26-00067。文件性质：正式分类标准。适用范围：脊髓损伤神经学分类。</w:t>
      </w:r>
    </w:p>
    <w:p>
      <w:r>
        <w:t>核验日期：2026年10月31日。核验范围与限制：ASIA官网确认2026版及许可；DOI全文请求403，未核全部新版变化；中文2026授权版未取得。</w:t>
      </w:r>
    </w:p>
    <w:p>
      <w:r>
        <w:t>与本库相关规则：不内置旧版分类算法冒充2026；正式分类保留版本和原始检查。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R13 中国吞咽障碍康复管理指南 2023版</w:t>
      </w:r>
    </w:p>
    <w:p>
      <w:r>
        <w:t>发布机构：中国康复医学会吞咽障碍康复专业委员会。版本年份：2023。文件性质：临床指南。适用范围：吞咽筛查 评估 干预 营养与口腔护理。</w:t>
      </w:r>
    </w:p>
    <w:p>
      <w:r>
        <w:t>核验日期：2026年10月31日。核验范围与限制：期刊官网摘要可见；未获得全部推荐表。</w:t>
      </w:r>
    </w:p>
    <w:p>
      <w:r>
        <w:t>与本库相关规则：筛查、临床评估、VFSS、FEES和进食许可互不替代。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R15 中国慢性呼吸疾病呼吸康复指南 2026版</w:t>
      </w:r>
    </w:p>
    <w:p>
      <w:r>
        <w:t>发布机构：中华医学会呼吸病学分会 中国康复医学会 中国医师协会呼吸医师分会。版本年份：2026 中华医学杂志。文件性质：临床指南。适用范围：慢性呼吸疾病呼吸康复。</w:t>
      </w:r>
    </w:p>
    <w:p>
      <w:r>
        <w:t>核验日期：2026年10月31日。核验范围与限制：原期刊页面定位成功但全文需订阅；本库不采纳二手摘要阈值。</w:t>
      </w:r>
    </w:p>
    <w:p>
      <w:r>
        <w:t>与本库相关规则：处方必须来自患者评估和临床确认，不从COPD诊断自动计算强度。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bookmarkStart w:id="11" w:name="sec11"/>
      <w:pPr>
        <w:pStyle w:val="Heading1"/>
      </w:pPr>
      <w:r>
        <w:t>版本更新与使用维护</w:t>
      </w:r>
      <w:bookmarkEnd w:id="11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04模块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who.int/standards/classifications/international-classification-of-functioning-disability-and-health" TargetMode="External"/><Relationship Id="rId13" Type="http://schemas.openxmlformats.org/officeDocument/2006/relationships/hyperlink" Target="https://asia-spinalinjury.org/international-standards-neurological-classification-sci-isncsci-worksheet/" TargetMode="External"/><Relationship Id="rId14" Type="http://schemas.openxmlformats.org/officeDocument/2006/relationships/hyperlink" Target="https://cjpmr.tjh.com.cn/ch/reader/view_abstract.aspx?file_no=2301201057&amp;flag=1" TargetMode="External"/><Relationship Id="rId15" Type="http://schemas.openxmlformats.org/officeDocument/2006/relationships/hyperlink" Target="https://rs.yiigle.com/cmaid/16666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康复医学科检验影像电生理吞咽及特殊检查分析模板库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