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06 康复治疗禁忌异常病情并发症及急危重症模板库</w:t>
      </w:r>
    </w:p>
    <w:p>
      <w:pPr>
        <w:pStyle w:val="Subtitle"/>
      </w:pPr>
      <w:r>
        <w:t>V1.0  第二级规则库</w:t>
      </w:r>
    </w:p>
    <w:p>
      <w:r>
        <w:t>创建与核验基准  2026年10月31日</w:t>
      </w:r>
    </w:p>
    <w:p>
      <w:r>
        <w:t>处理治疗禁忌、异常事件、暂停、终止及恢复评估。正文提供临床资料契约、专业规则、可填充模板、完整虚构病例与质量控制。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禁忌 暂停 终止与恢复的分层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32类异常的场景化处置记录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恢复治疗准入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异常病程模板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完整虚构病例与书写演示</w:t>
        </w:r>
      </w:hyperlink>
      <w:r>
        <w:tab/>
        <w:t>7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输出格式与真实性限制</w:t>
        </w:r>
      </w:hyperlink>
      <w:r>
        <w:tab/>
        <w:t>8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常见错误与最终质控清单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模块协同关系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0">
        <w:r>
          <w:rPr>
            <w:color w:val="000000"/>
          </w:rPr>
          <w:t>指南与规范核验</w:t>
        </w:r>
      </w:hyperlink>
      <w:r>
        <w:tab/>
        <w:t>9</w:t>
      </w:r>
    </w:p>
    <w:p>
      <w:pPr>
        <w:tabs>
          <w:tab w:pos="9184" w:val="right" w:leader="dot"/>
        </w:tabs>
        <w:spacing w:after="80" w:line="264" w:lineRule="auto"/>
      </w:pPr>
      <w:hyperlink w:anchor="sec11">
        <w:r>
          <w:rPr>
            <w:color w:val="000000"/>
          </w:rPr>
          <w:t>版本更新与使用维护</w:t>
        </w:r>
      </w:hyperlink>
      <w:r>
        <w:tab/>
        <w:t>11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功能定位：处理治疗禁忌、异常事件、暂停、终止及恢复评估。本模块面向中国医院康复医师及具备权限的相关专业人员，作为医师审核前的规则与文书草稿库。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禁忌 暂停 终止与恢复的分层</w:t>
      </w:r>
      <w:bookmarkEnd w:id="2"/>
    </w:p>
    <w:p>
      <w:r>
        <w:t>绝对或相对禁忌须针对具体疾病、阶段、技术和设备说明书判断；不建立一套适用于所有患者的统一心率、血压、氧饱和度或运动停止阈值。医师个体方案和适用院内规范必须有来源、有效时间和责任人。</w:t>
      </w:r>
    </w:p>
    <w:p>
      <w:r>
        <w:t>出现急性胸痛、严重呼吸困难、突发神经功能恶化或疑似急性血栓栓塞，优先提示停止活动并立即进行现场临床评估。资料不足也不能默认适合常规训练。这里只给安全分流，真实治疗、抢救和医嘱由现场人员执行。</w:t>
      </w:r>
    </w:p>
    <w:p>
      <w:bookmarkStart w:id="3" w:name="sec3"/>
      <w:pPr>
        <w:pStyle w:val="Heading1"/>
      </w:pPr>
      <w:r>
        <w:t>32类异常的场景化处置记录</w:t>
      </w:r>
      <w:bookmarkEnd w:id="3"/>
    </w:p>
    <w:p>
      <w:pPr>
        <w:pStyle w:val="Heading2"/>
      </w:pPr>
      <w:r>
        <w:t>胸痛 呼吸困难 严重低氧</w:t>
      </w:r>
    </w:p>
    <w:p>
      <w:r>
        <w:t>必须采集：新发胸痛、呼吸费力、氧合下降及症状时间。</w:t>
      </w:r>
    </w:p>
    <w:p>
      <w:r>
        <w:t>临床安全与记录重点：优先停止活动并呼叫现场专业评估；核实氧疗装置、循环和临床检查；不自动确诊心梗或肺栓塞。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低血压 体位性低血压 晕厥</w:t>
      </w:r>
    </w:p>
    <w:p>
      <w:r>
        <w:t>必须采集：体位转换、血压心率、症状和意识变化。</w:t>
      </w:r>
    </w:p>
    <w:p>
      <w:r>
        <w:t>临床安全与记录重点：保持现场安全、由人员评估和处置；记录卧坐站条件与测量时间，不凭头晕诊断体位性低血压。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严重心律失常 急性心衰</w:t>
      </w:r>
    </w:p>
    <w:p>
      <w:r>
        <w:t>必须采集：监护原始记录、胸闷、灌注、呼吸和实际药物变化。</w:t>
      </w:r>
    </w:p>
    <w:p>
      <w:r>
        <w:t>临床安全与记录重点：暂停并由临床团队判断急救及复训条件，不按固定休息分钟数自动恢复。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运动不耐受 严重疲劳 运动后功能恶化</w:t>
      </w:r>
    </w:p>
    <w:p>
      <w:r>
        <w:t>必须采集：实际负荷、症状、恢复过程及前后可比功能。</w:t>
      </w:r>
    </w:p>
    <w:p>
      <w:r>
        <w:t>临床安全与记录重点：检查过负荷、感染、药物等可能因素；不把异常一概称正常训练反应。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跌倒 二次损伤 骨折或固定风险</w:t>
      </w:r>
    </w:p>
    <w:p>
      <w:r>
        <w:t>必须采集：跌倒时点、任务、保护和器具、落地部位、头部或抗凝风险。</w:t>
      </w:r>
    </w:p>
    <w:p>
      <w:r>
        <w:t>临床安全与记录重点：先现场评估损伤与生命支持需要，避免未经判断强行扶起；不自动写无伤。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新发无力 感觉异常 痉挛加重</w:t>
      </w:r>
    </w:p>
    <w:p>
      <w:r>
        <w:t>必须采集：新旧神经实查、发作时间、侧别、疼痛及意识。</w:t>
      </w:r>
    </w:p>
    <w:p>
      <w:r>
        <w:t>临床安全与记录重点：急性神经恶化优先临床评估；不能先按康复疲劳处理或直接确诊再卒中。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自主神经反射异常</w:t>
      </w:r>
    </w:p>
    <w:p>
      <w:r>
        <w:t>必须采集：SCI背景、基线血压、当前症状、诱因如膀胱肠道及皮肤。</w:t>
      </w:r>
    </w:p>
    <w:p>
      <w:r>
        <w:t>临床安全与记录重点：停止相关训练并按院内SCI急症路径处理，逐步记录排查及真实措施；不能套普通体位性低血压处理。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误吸 吸入性肺炎 窒息</w:t>
      </w:r>
    </w:p>
    <w:p>
      <w:r>
        <w:t>必须采集：进食质地量体位、呛咳、湿嗓、气道及氧合；感染诊断依据。</w:t>
      </w:r>
    </w:p>
    <w:p>
      <w:r>
        <w:t>临床安全与记录重点：停止当前摄食训练并立即现场气道评估，危急按院内窒息抢救；呛咳不等确诊肺炎。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严重感染 DVT及肺栓塞</w:t>
      </w:r>
    </w:p>
    <w:p>
      <w:r>
        <w:t>必须采集：发热、感染证据、肢体症状、胸部症状及实际影像。</w:t>
      </w:r>
    </w:p>
    <w:p>
      <w:r>
        <w:t>临床安全与记录重点：疑急性血栓栓塞优先临床评估；肿胀和D二聚体不能单独确诊，未排查时不进行患肢强力按摩。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压力性损伤 皮肤损伤 切口异常</w:t>
      </w:r>
    </w:p>
    <w:p>
      <w:r>
        <w:t>必须采集：部位、范围分期来源、渗液、局部感染、支具或电极接触。</w:t>
      </w:r>
    </w:p>
    <w:p>
      <w:r>
        <w:t>临床安全与记录重点：暂停相关受压或刺激项目，记录实际皮肤措施与会诊，不推断全部皮肤正常。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严重疼痛 关节脱位或不稳</w:t>
      </w:r>
    </w:p>
    <w:p>
      <w:r>
        <w:t>必须采集：疼痛变化、姿势、神经血运、结构和修复许可。</w:t>
      </w:r>
    </w:p>
    <w:p>
      <w:r>
        <w:t>临床安全与记录重点：暂停致痛或高风险动作并临床检查；不继续暴力牵伸，不仅凭疼痛确诊脱位。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康复设备异常</w:t>
      </w:r>
    </w:p>
    <w:p>
      <w:r>
        <w:t>必须采集：报警、固定、参数变化、停机与是否损伤。</w:t>
      </w:r>
    </w:p>
    <w:p>
      <w:r>
        <w:t>临床安全与记录重点：停用相关设备并按本院设备和事件流程处理；型号、故障原因和维修结论不编造。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精神行为异常 配合困难</w:t>
      </w:r>
    </w:p>
    <w:p>
      <w:r>
        <w:t>必须采集：意识、行为、情绪、疼痛、药物及家属来源。</w:t>
      </w:r>
    </w:p>
    <w:p>
      <w:r>
        <w:t>临床安全与记录重点：查明可逆原因和即时风险，记录实际安抚或专业会诊；不把不能配合自动诊断精神疾病。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pPr>
        <w:pStyle w:val="Heading2"/>
      </w:pPr>
      <w:r>
        <w:t>危急情况 CPR与抢救</w:t>
      </w:r>
    </w:p>
    <w:p>
      <w:r>
        <w:t>必须采集：分钟级时间、呼吸循环意识、实际参与者、措施、剂量及反应。</w:t>
      </w:r>
    </w:p>
    <w:p>
      <w:r>
        <w:t>临床安全与记录重点：优先现场急救流程，文书仅记真实措施；不能因模板列CPR而写已实施。</w:t>
      </w:r>
    </w:p>
    <w:p>
      <w:r>
        <w:t>闭环字段：异常时间→当时项目及已执行剂量→实际症状及监测→检查与判断确定度→实际停止或处理→通知人员与时间→后续病情→恢复复评及医师确认。未知项不得按正常补齐。</w:t>
      </w:r>
    </w:p>
    <w:p>
      <w:bookmarkStart w:id="4" w:name="sec4"/>
      <w:pPr>
        <w:pStyle w:val="Heading1"/>
      </w:pPr>
      <w:r>
        <w:t>恢复治疗准入</w:t>
      </w:r>
      <w:bookmarkEnd w:id="4"/>
    </w:p>
    <w:p>
      <w:r>
        <w:t>暂停原因解决与否、病情稳定性、临床检查、设备和管路、活动及进食许可、拟恢复项目与负荷、监测和终止条件必须重新评估。未取得授权保持暂停；一次静息血压恢复不等于原强度安全。重启新session，保留旧session中止及异常记录。</w:t>
      </w:r>
    </w:p>
    <w:p>
      <w:r>
        <w:t>不良事件关联分时间相关、疑似因果、经评估相关或不相关；结论需记录者和依据。不能为避免责任省去已发生事件，也不能自动认定所有症状由治疗造成。</w:t>
      </w:r>
    </w:p>
    <w:p>
      <w:bookmarkStart w:id="5" w:name="sec5"/>
      <w:pPr>
        <w:pStyle w:val="Heading1"/>
      </w:pPr>
      <w:r>
        <w:t>异常病程模板</w:t>
      </w:r>
      <w:bookmarkEnd w:id="5"/>
    </w:p>
    <w:p>
      <w:r>
        <w:t>【文书日期及时间】 治疗中异常病程记录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患者在【实际项目与负荷】时出现【实际症状】，当时【实测生命体征或专科监测】。已【实际停止、处理及通知】，临床考虑【判断及证据限制】，随后【带时间的病情变化】；目前【暂停或终止状态】，待【现场医师确认的复评条件】决定后续康复。</w:t>
      </w:r>
    </w:p>
    <w:p>
      <w:pPr>
        <w:pStyle w:val="Code"/>
      </w:pPr>
      <w:r>
        <w:t>```</w:t>
      </w:r>
    </w:p>
    <w:p>
      <w:bookmarkStart w:id="6" w:name="sec6"/>
      <w:pPr>
        <w:pStyle w:val="Heading1"/>
      </w:pPr>
      <w:r>
        <w:t>完整虚构病例与书写演示</w:t>
      </w:r>
      <w:bookmarkEnd w:id="6"/>
    </w:p>
    <w:p>
      <w:r>
        <w:t>本节资料全部虚构，仅用于教学和规则测试，禁止并入真实患者记录。</w:t>
      </w:r>
    </w:p>
    <w:p>
      <w:r>
        <w:t>虚构患者SIM007，住院SIM007-E01，男，62岁，2026年10月20日入院。10月1日发病，转诊资料记录脑梗死恢复期，本次主要目标为改善床椅转移和穿衣。发病前可独立生活，妻子为拟照护者，家有电梯但浴室设施尚未现场核实。病史、查体、处方与治疗分源保存。</w:t>
      </w:r>
    </w:p>
    <w:p>
      <w:r>
        <w:t>10月30日09:00模拟康复医师甲检查：血压128/76 mmHg，心率76次/min，室内空气SpO2 97%，神志清楚；右肘屈肌MMT 3级，右膝伸肌MMT 3级；床椅转移需一人躯干帮助，穿上衣需协助；未完成步行及吞咽专科评定，不推断FAC、饮食质地或吞咽安全。</w:t>
      </w:r>
    </w:p>
    <w:p>
      <w:r>
        <w:t>10月30日医师确认当前床椅转移训练需一人保护并由PT执行，不授权独立步行。10月30日14:00至14:15模拟PT乙实际开展床椅转移4次，有效练习10分钟、间歇5分钟；第4次需增加帮助，未记录治疗后生命体征，不写耐受良好。OT、ST仅计划评估，无已执行记录。</w:t>
      </w:r>
    </w:p>
    <w:p>
      <w:r>
        <w:t>ICF问题：右侧运动功能下降，转移与穿衣活动受限，无法恢复原工作；照护者支持为潜在促进因素但能力未验证。近期目标为一周内在相同场景和保护条件下减少转移帮助，具体目标水平待团队与患者共同确认；长期目标为安全回归家庭。10月31日尚无新量表，不写评分提高。出院仍为计划，需复核照护者操作、居家卫生间与辅具适配；随访日期待临床确定。</w:t>
      </w:r>
    </w:p>
    <w:p>
      <w:r>
        <w:t>补充虚构急变：10月31日10:05尚在已许可转移训练中出现胸痛和呼吸困难，SpO2 86%；现场PT停止，10:06通知医师。尚无后续检查或诊断。</w:t>
      </w:r>
    </w:p>
    <w:p>
      <w:r>
        <w:t>2026年10月31日 10:10 治疗中异常病程记录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10:05患者转移训练中出现胸痛、呼吸困难，实测SpO2 86%。现场PT已停止训练，10:06通知医师并等待即时现场评估；当前病因未明，未取得心电或影像结果，不确诊心肌梗死或肺栓塞。相关活动保持暂停，后续处理和变化须按实际补记。</w:t>
      </w:r>
    </w:p>
    <w:p>
      <w:pPr>
        <w:pStyle w:val="Code"/>
      </w:pPr>
      <w:r>
        <w:t>```</w:t>
      </w:r>
    </w:p>
    <w:p>
      <w:bookmarkStart w:id="7" w:name="sec7"/>
      <w:pPr>
        <w:pStyle w:val="Heading1"/>
      </w:pPr>
      <w:r>
        <w:t>输出格式与真实性限制</w:t>
      </w:r>
      <w:bookmarkEnd w:id="7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8" w:name="sec8"/>
      <w:pPr>
        <w:pStyle w:val="Heading1"/>
      </w:pPr>
      <w:r>
        <w:t>常见错误与最终质控清单</w:t>
      </w:r>
      <w:bookmarkEnd w:id="8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9" w:name="sec9"/>
      <w:pPr>
        <w:pStyle w:val="Heading1"/>
      </w:pPr>
      <w:r>
        <w:t>模块协同关系</w:t>
      </w:r>
      <w:bookmarkEnd w:id="9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10" w:name="sec10"/>
      <w:pPr>
        <w:pStyle w:val="Heading1"/>
      </w:pPr>
      <w:r>
        <w:t>指南与规范核验</w:t>
      </w:r>
      <w:bookmarkEnd w:id="10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R02 医疗质量安全核心制度要点</w:t>
      </w:r>
    </w:p>
    <w:p>
      <w:r>
        <w:t>发布机构：国家卫生健康委。版本年份：2018 国卫医发〔2018〕8号。文件性质：部门规范性文件。适用范围：医疗质量安全制度。</w:t>
      </w:r>
    </w:p>
    <w:p>
      <w:r>
        <w:t>核验日期：2026年10月31日。核验范围与限制：官方要点及解读页核实。</w:t>
      </w:r>
    </w:p>
    <w:p>
      <w:r>
        <w:t>与本库相关规则：三级查房、会诊、抢救和信息安全按院内落实细则执行。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R09 脑卒中重症康复指南</w:t>
      </w:r>
    </w:p>
    <w:p>
      <w:r>
        <w:t>发布机构：中国残疾人康复协会。版本年份：T/CARD 057—2024。文件性质：团体标准。适用范围：成人重症脑卒中。</w:t>
      </w:r>
    </w:p>
    <w:p>
      <w:r>
        <w:t>核验日期：2026年10月31日。核验范围与限制：官方医院发布信息核实正式发布；可搜到的XXXX文本是征求意见稿，不作为正式阈值依据。</w:t>
      </w:r>
    </w:p>
    <w:p>
      <w:r>
        <w:t>与本库相关规则：危重康复需与重症团队协同，暂停条件采用经确认的适用原文和院内方案。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R10 International Standards for Neurological Classification of Spinal Cord Injury</w:t>
      </w:r>
    </w:p>
    <w:p>
      <w:r>
        <w:t>发布机构：ASIA ISCoS相关专家。版本年份：9th edition 2026 DOI 10.46292/sci26-00067。文件性质：正式分类标准。适用范围：脊髓损伤神经学分类。</w:t>
      </w:r>
    </w:p>
    <w:p>
      <w:r>
        <w:t>核验日期：2026年10月31日。核验范围与限制：ASIA官网确认2026版及许可；DOI全文请求403，未核全部新版变化；中文2026授权版未取得。</w:t>
      </w:r>
    </w:p>
    <w:p>
      <w:r>
        <w:t>与本库相关规则：不内置旧版分类算法冒充2026；正式分类保留版本和原始检查。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R13 中国吞咽障碍康复管理指南 2023版</w:t>
      </w:r>
    </w:p>
    <w:p>
      <w:r>
        <w:t>发布机构：中国康复医学会吞咽障碍康复专业委员会。版本年份：2023。文件性质：临床指南。适用范围：吞咽筛查 评估 干预 营养与口腔护理。</w:t>
      </w:r>
    </w:p>
    <w:p>
      <w:r>
        <w:t>核验日期：2026年10月31日。核验范围与限制：期刊官网摘要可见；未获得全部推荐表。</w:t>
      </w:r>
    </w:p>
    <w:p>
      <w:r>
        <w:t>与本库相关规则：筛查、临床评估、VFSS、FEES和进食许可互不替代。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R16 中国成人心脏重症康复专家共识</w:t>
      </w:r>
    </w:p>
    <w:p>
      <w:r>
        <w:t>发布机构：国家心血管病中心生活方式医学专业委员会等四个机构。版本年份：2026 中国循环杂志41卷9期833至854页。文件性质：专家共识。适用范围：成人心脏重症康复。</w:t>
      </w:r>
    </w:p>
    <w:p>
      <w:r>
        <w:t>核验日期：2026年10月31日。核验范围与限制：阜外在线官方期刊目录核实；全文未获取。</w:t>
      </w:r>
    </w:p>
    <w:p>
      <w:r>
        <w:t>与本库相关规则：只确认适用领域和版本，具体运动准入及终止阈值待院内核全文。</w:t>
      </w:r>
    </w:p>
    <w:p>
      <w:r>
        <w:t>证据来源：</w:t>
      </w:r>
      <w:hyperlink r:id="rId16">
        <w:r>
          <w:rPr>
            <w:color w:val="000000"/>
          </w:rPr>
          <w:t>打开原始发布页面</w:t>
        </w:r>
      </w:hyperlink>
    </w:p>
    <w:p>
      <w:bookmarkStart w:id="11" w:name="sec11"/>
      <w:pPr>
        <w:pStyle w:val="Heading1"/>
      </w:pPr>
      <w:r>
        <w:t>版本更新与使用维护</w:t>
      </w:r>
      <w:bookmarkEnd w:id="11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06模块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yzygj/c100068/201804/42ab2552298047679cd6ec733f233862.shtml" TargetMode="External"/><Relationship Id="rId13" Type="http://schemas.openxmlformats.org/officeDocument/2006/relationships/hyperlink" Target="https://wjw.beijing.gov.cn/xwzx_20031/jcdt/202501/t20250109_3984134.html" TargetMode="External"/><Relationship Id="rId14" Type="http://schemas.openxmlformats.org/officeDocument/2006/relationships/hyperlink" Target="https://asia-spinalinjury.org/international-standards-neurological-classification-sci-isncsci-worksheet/" TargetMode="External"/><Relationship Id="rId15" Type="http://schemas.openxmlformats.org/officeDocument/2006/relationships/hyperlink" Target="https://cjpmr.tjh.com.cn/ch/reader/view_abstract.aspx?file_no=2301201057&amp;flag=1" TargetMode="External"/><Relationship Id="rId16" Type="http://schemas.openxmlformats.org/officeDocument/2006/relationships/hyperlink" Target="https://www.fuwaionline.org.cn/m/index/fuwai-guide/107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康复治疗禁忌异常病情并发症及急危重症模板库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