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07 康复治疗决策运动处方物理因子治疗及医嘱表达规则库</w:t>
      </w:r>
    </w:p>
    <w:p>
      <w:pPr>
        <w:pStyle w:val="Subtitle"/>
      </w:pPr>
      <w:r>
        <w:t>V1.0  第二级规则库</w:t>
      </w:r>
    </w:p>
    <w:p>
      <w:r>
        <w:t>创建与核验基准  2026年10月31日</w:t>
      </w:r>
    </w:p>
    <w:p>
      <w:r>
        <w:t>将功能目标转换为供医师审核的个体处方和医嘱状态。正文提供临床资料契约、专业规则、可填充模板、完整虚构病例与质量控制。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目标驱动的个体化决策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专业和技术选择规则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药物与医疗技术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状态转换和权限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运动处方及调整模板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完整虚构病例与书写演示</w:t>
        </w:r>
      </w:hyperlink>
      <w:r>
        <w:tab/>
        <w:t>5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输出格式与真实性限制</w:t>
        </w:r>
      </w:hyperlink>
      <w:r>
        <w:tab/>
        <w:t>6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常见错误与最终质控清单</w:t>
        </w:r>
      </w:hyperlink>
      <w:r>
        <w:tab/>
        <w:t>6</w:t>
      </w:r>
    </w:p>
    <w:p>
      <w:pPr>
        <w:tabs>
          <w:tab w:pos="9184" w:val="right" w:leader="dot"/>
        </w:tabs>
        <w:spacing w:after="80" w:line="264" w:lineRule="auto"/>
      </w:pPr>
      <w:hyperlink w:anchor="sec10">
        <w:r>
          <w:rPr>
            <w:color w:val="000000"/>
          </w:rPr>
          <w:t>模块协同关系</w:t>
        </w:r>
      </w:hyperlink>
      <w:r>
        <w:tab/>
        <w:t>6</w:t>
      </w:r>
    </w:p>
    <w:p>
      <w:pPr>
        <w:tabs>
          <w:tab w:pos="9184" w:val="right" w:leader="dot"/>
        </w:tabs>
        <w:spacing w:after="80" w:line="264" w:lineRule="auto"/>
      </w:pPr>
      <w:hyperlink w:anchor="sec11">
        <w:r>
          <w:rPr>
            <w:color w:val="000000"/>
          </w:rPr>
          <w:t>指南与规范核验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12">
        <w:r>
          <w:rPr>
            <w:color w:val="000000"/>
          </w:rPr>
          <w:t>版本更新与使用维护</w:t>
        </w:r>
      </w:hyperlink>
      <w:r>
        <w:tab/>
        <w:t>9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功能定位：将功能目标转换为供医师审核的个体处方和医嘱状态。本模块面向中国医院康复医师及具备权限的相关专业人员，作为医师审核前的规则与文书草稿库。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目标驱动的个体化决策</w:t>
      </w:r>
      <w:bookmarkEnd w:id="2"/>
    </w:p>
    <w:p>
      <w:r>
        <w:t>依次核对疾病稳定性、康复适应性、禁忌、患者意愿、核心功能问题、近期和中长期目标、可用资源及风险。优先级由临床确定，不能因为模板排列将步行目标置于吞咽或气道安全之前。</w:t>
      </w:r>
    </w:p>
    <w:p>
      <w:r>
        <w:t>处方须说明目标、运动或治疗形式、部位侧别、活动范围、频率、时间、强度和负荷来源、负重、器具、监测、个体中止条件、实施状态及复评条件。未获得明确许可不升级负重；参数缺失可以形成待医师完善的处方草稿，不输出可直接执行的虚构剂量。</w:t>
      </w:r>
    </w:p>
    <w:p>
      <w:bookmarkStart w:id="3" w:name="sec3"/>
      <w:pPr>
        <w:pStyle w:val="Heading1"/>
      </w:pPr>
      <w:r>
        <w:t>专业和技术选择规则</w:t>
      </w:r>
      <w:bookmarkEnd w:id="3"/>
    </w:p>
    <w:p>
      <w:r>
        <w:t>PT依据运动控制、关节肌力、移动和耐力问题；OT依据有意义作业、ADL、环境和职业任务；ST依据语言言语和吞咽独立评估；认知与神经心理根据领域评估和资格实施。吞咽康复同时核进食许可与非摄食训练边界，不能由算法升级饮食。</w:t>
      </w:r>
    </w:p>
    <w:p>
      <w:r>
        <w:t>心肺处方需结合疾病阶段、实际负荷试验、氧疗和循环条件；心率靶值不能忽视药物、节律、起搏器和自主神经影响。疼痛治疗先排红旗并结合功能；抗痉挛治疗需权衡有用张力与无力、镇静、跌倒和照护目标。</w:t>
      </w:r>
    </w:p>
    <w:p>
      <w:r>
        <w:t>FES、TENS、NMES、热疗、冷疗、超声及其他物理因子各核适应部位、皮肤感觉、局部组织、植入装置、禁忌与设备说明书；不泛称所有有金属或有肿瘤者一律同样禁忌，也不一概安全。参数必须有实际设备记录和临床确认。机器人、VR、假肢及矫形器另核适配和风险，不因处方已开就记录已完成。</w:t>
      </w:r>
    </w:p>
    <w:p>
      <w:r>
        <w:t>家庭计划从已教学并确认掌握的任务起步，明确保护和警戒条件；不能把病房有专业保护的高风险任务直接改为患者独立在家练习。</w:t>
      </w:r>
    </w:p>
    <w:p>
      <w:bookmarkStart w:id="4" w:name="sec4"/>
      <w:pPr>
        <w:pStyle w:val="Heading1"/>
      </w:pPr>
      <w:r>
        <w:t>药物与医疗技术</w:t>
      </w:r>
      <w:bookmarkEnd w:id="4"/>
    </w:p>
    <w:p>
      <w:r>
        <w:t>疼痛、抗痉挛及神经相关药物仅按真实处方记录药名、剂量、途径、频次、疗程、调整依据和执行状态。镇静、低血压、疲劳等可能影响功能，需结合事实分析。不得编造已用药、已注射肉毒毒素、泵参数或治疗许可；侵入技术按院内准入和实际操作者管理。</w:t>
      </w:r>
    </w:p>
    <w:p>
      <w:bookmarkStart w:id="5" w:name="sec5"/>
      <w:pPr>
        <w:pStyle w:val="Heading1"/>
      </w:pPr>
      <w:r>
        <w:t>状态转换和权限</w:t>
      </w:r>
      <w:bookmarkEnd w:id="5"/>
    </w:p>
    <w:p>
      <w:r>
        <w:t>医学建议与医师拟定可编辑，医师确认有时间和责任者；正式医嘱开立不等于排程，排程不等于治疗。每次实际执行由05提供独立session。暂停保留原因，取消不生成治疗反应；终止原因和重评条件独立。</w:t>
      </w:r>
    </w:p>
    <w:p>
      <w:r>
        <w:t>活动许可变更带生效时间、侧别、结构、范围和确认者；新许可不回写过去，临床冲突先核实。患者自行超许可活动记录为实际行为并触发风险核对，不能反向生成授权。</w:t>
      </w:r>
    </w:p>
    <w:p>
      <w:bookmarkStart w:id="6" w:name="sec6"/>
      <w:pPr>
        <w:pStyle w:val="Heading1"/>
      </w:pPr>
      <w:r>
        <w:t>运动处方及调整模板</w:t>
      </w:r>
      <w:bookmarkEnd w:id="6"/>
    </w:p>
    <w:p>
      <w:r>
        <w:t>【文书日期及时间】 康复处方草稿</w:t>
      </w:r>
    </w:p>
    <w:p>
      <w:pPr>
        <w:pStyle w:val="Code"/>
      </w:pPr>
      <w:r>
        <w:t>```text</w:t>
      </w:r>
    </w:p>
    <w:p>
      <w:pPr>
        <w:pStyle w:val="Code"/>
      </w:pPr>
      <w:r>
        <w:t>目标及基线：【资料】</w:t>
      </w:r>
    </w:p>
    <w:p>
      <w:pPr>
        <w:pStyle w:val="Code"/>
      </w:pPr>
      <w:r>
        <w:t>状态与确认者：【建议或已确认或已开立】</w:t>
      </w:r>
    </w:p>
    <w:p>
      <w:pPr>
        <w:pStyle w:val="Code"/>
      </w:pPr>
      <w:r>
        <w:t>专业项目及部位：【内容】</w:t>
      </w:r>
    </w:p>
    <w:p>
      <w:pPr>
        <w:pStyle w:val="Code"/>
      </w:pPr>
      <w:r>
        <w:t>活动范围与负重许可：【有效来源】</w:t>
      </w:r>
    </w:p>
    <w:p>
      <w:pPr>
        <w:pStyle w:val="Code"/>
      </w:pPr>
      <w:r>
        <w:t>频率 时长 强度：【临床确认参数或待完善项】</w:t>
      </w:r>
    </w:p>
    <w:p>
      <w:pPr>
        <w:pStyle w:val="Code"/>
      </w:pPr>
      <w:r>
        <w:t>器具和保护：【要求】</w:t>
      </w:r>
    </w:p>
    <w:p>
      <w:pPr>
        <w:pStyle w:val="Code"/>
      </w:pPr>
      <w:r>
        <w:t>监测及个体中止条件：【依据】</w:t>
      </w:r>
    </w:p>
    <w:p>
      <w:pPr>
        <w:pStyle w:val="Code"/>
      </w:pPr>
      <w:r>
        <w:t>执行反馈与复评：【计划】</w:t>
      </w:r>
    </w:p>
    <w:p>
      <w:pPr>
        <w:pStyle w:val="Code"/>
      </w:pPr>
      <w:r>
        <w:t>```</w:t>
      </w:r>
    </w:p>
    <w:p>
      <w:r>
        <w:t>【文书日期及时间】 康复医嘱调整病程</w:t>
      </w:r>
    </w:p>
    <w:p>
      <w:pPr>
        <w:pStyle w:val="Code"/>
      </w:pPr>
      <w:r>
        <w:t>```text</w:t>
      </w:r>
    </w:p>
    <w:p>
      <w:pPr>
        <w:pStyle w:val="Code"/>
      </w:pPr>
      <w:r>
        <w:t>因【实测变化及原因】复核原处方【内容】，经【真实确认者】于【生效时间】决定【新方案或继续原限制】。治疗师建议【内容】的采纳状态为【状态】，实际执行待逐次记录，不以本次调整替代已执行事实。</w:t>
      </w:r>
    </w:p>
    <w:p>
      <w:pPr>
        <w:pStyle w:val="Code"/>
      </w:pPr>
      <w:r>
        <w:t>```</w:t>
      </w:r>
    </w:p>
    <w:p>
      <w:bookmarkStart w:id="7" w:name="sec7"/>
      <w:pPr>
        <w:pStyle w:val="Heading1"/>
      </w:pPr>
      <w:r>
        <w:t>完整虚构病例与书写演示</w:t>
      </w:r>
      <w:bookmarkEnd w:id="7"/>
    </w:p>
    <w:p>
      <w:r>
        <w:t>本节资料全部虚构，仅用于教学和规则测试，禁止并入真实患者记录。</w:t>
      </w:r>
    </w:p>
    <w:p>
      <w:r>
        <w:t>虚构患者SIM008，住院SIM008-E01，男，62岁，2026年10月20日入院。10月1日发病，转诊资料记录脑梗死恢复期，本次主要目标为改善床椅转移和穿衣。发病前可独立生活，妻子为拟照护者，家有电梯但浴室设施尚未现场核实。病史、查体、处方与治疗分源保存。</w:t>
      </w:r>
    </w:p>
    <w:p>
      <w:r>
        <w:t>10月30日09:00模拟康复医师甲检查：血压128/76 mmHg，心率76次/min，室内空气SpO2 97%，神志清楚；右肘屈肌MMT 3级，右膝伸肌MMT 3级；床椅转移需一人躯干帮助，穿上衣需协助；未完成步行及吞咽专科评定，不推断FAC、饮食质地或吞咽安全。</w:t>
      </w:r>
    </w:p>
    <w:p>
      <w:r>
        <w:t>10月30日医师确认当前床椅转移训练需一人保护并由PT执行，不授权独立步行。10月30日14:00至14:15模拟PT乙实际开展床椅转移4次，有效练习10分钟、间歇5分钟；第4次需增加帮助，未记录治疗后生命体征，不写耐受良好。OT、ST仅计划评估，无已执行记录。</w:t>
      </w:r>
    </w:p>
    <w:p>
      <w:r>
        <w:t>ICF问题：右侧运动功能下降，转移与穿衣活动受限，无法恢复原工作；照护者支持为潜在促进因素但能力未验证。近期目标为一周内在相同场景和保护条件下减少转移帮助，具体目标水平待团队与患者共同确认；长期目标为安全回归家庭。10月31日尚无新量表，不写评分提高。出院仍为计划，需复核照护者操作、居家卫生间与辅具适配；随访日期待临床确定。</w:t>
      </w:r>
    </w:p>
    <w:p>
      <w:r>
        <w:t>本病例无可独立步行许可，疼痛减轻不能产生负重或步行升级。</w:t>
      </w:r>
    </w:p>
    <w:p>
      <w:r>
        <w:t>2026年10月31日 09:00 康复方案核对病程</w:t>
      </w:r>
    </w:p>
    <w:p>
      <w:pPr>
        <w:pStyle w:val="Code"/>
      </w:pPr>
      <w:r>
        <w:t>```text</w:t>
      </w:r>
    </w:p>
    <w:p>
      <w:pPr>
        <w:pStyle w:val="Code"/>
      </w:pPr>
      <w:r>
        <w:t>患者当前仅获一人保护下床椅转移许可，尚无独立步行授权。既往PT记录提示第4次转移需增加帮助，拟先复核疲劳与转移控制，再由医师确认后续方案；不能仅凭疼痛减轻升级活动或编写已完成步行训练。</w:t>
      </w:r>
    </w:p>
    <w:p>
      <w:pPr>
        <w:pStyle w:val="Code"/>
      </w:pPr>
      <w:r>
        <w:t>```</w:t>
      </w:r>
    </w:p>
    <w:p>
      <w:bookmarkStart w:id="8" w:name="sec8"/>
      <w:pPr>
        <w:pStyle w:val="Heading1"/>
      </w:pPr>
      <w:r>
        <w:t>输出格式与真实性限制</w:t>
      </w:r>
      <w:bookmarkEnd w:id="8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9" w:name="sec9"/>
      <w:pPr>
        <w:pStyle w:val="Heading1"/>
      </w:pPr>
      <w:r>
        <w:t>常见错误与最终质控清单</w:t>
      </w:r>
      <w:bookmarkEnd w:id="9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10" w:name="sec10"/>
      <w:pPr>
        <w:pStyle w:val="Heading1"/>
      </w:pPr>
      <w:r>
        <w:t>模块协同关系</w:t>
      </w:r>
      <w:bookmarkEnd w:id="10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11" w:name="sec11"/>
      <w:pPr>
        <w:pStyle w:val="Heading1"/>
      </w:pPr>
      <w:r>
        <w:t>指南与规范核验</w:t>
      </w:r>
      <w:bookmarkEnd w:id="11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R12 Management of Hip Fractures in Older Adults</w:t>
      </w:r>
    </w:p>
    <w:p>
      <w:r>
        <w:t>发布机构：AAOS。版本年份：2021-12-03。文件性质：国外临床指南。适用范围：老年髋部骨折 非所有骨折或软组织修复。</w:t>
      </w:r>
    </w:p>
    <w:p>
      <w:r>
        <w:t>核验日期：2026年10月31日。核验范围与限制：官方指南页及适用人群核实。</w:t>
      </w:r>
    </w:p>
    <w:p>
      <w:r>
        <w:t>与本库相关规则：群体建议不能转换为本患者已获负重许可；核实术者意见。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R13 中国吞咽障碍康复管理指南 2023版</w:t>
      </w:r>
    </w:p>
    <w:p>
      <w:r>
        <w:t>发布机构：中国康复医学会吞咽障碍康复专业委员会。版本年份：2023。文件性质：临床指南。适用范围：吞咽筛查 评估 干预 营养与口腔护理。</w:t>
      </w:r>
    </w:p>
    <w:p>
      <w:r>
        <w:t>核验日期：2026年10月31日。核验范围与限制：期刊官网摘要可见；未获得全部推荐表。</w:t>
      </w:r>
    </w:p>
    <w:p>
      <w:r>
        <w:t>与本库相关规则：筛查、临床评估、VFSS、FEES和进食许可互不替代。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R15 中国慢性呼吸疾病呼吸康复指南 2026版</w:t>
      </w:r>
    </w:p>
    <w:p>
      <w:r>
        <w:t>发布机构：中华医学会呼吸病学分会 中国康复医学会 中国医师协会呼吸医师分会。版本年份：2026 中华医学杂志。文件性质：临床指南。适用范围：慢性呼吸疾病呼吸康复。</w:t>
      </w:r>
    </w:p>
    <w:p>
      <w:r>
        <w:t>核验日期：2026年10月31日。核验范围与限制：原期刊页面定位成功但全文需订阅；本库不采纳二手摘要阈值。</w:t>
      </w:r>
    </w:p>
    <w:p>
      <w:r>
        <w:t>与本库相关规则：处方必须来自患者评估和临床确认，不从COPD诊断自动计算强度。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R20 WHO guideline for non surgical management of chronic primary low back pain in adults in primary and community care settings</w:t>
      </w:r>
    </w:p>
    <w:p>
      <w:r>
        <w:t>发布机构：WHO。版本年份：2023。文件性质：国际临床指南。适用范围：成人慢性原发性腰痛 基层与社区。</w:t>
      </w:r>
    </w:p>
    <w:p>
      <w:r>
        <w:t>核验日期：2026年10月31日。核验范围与限制：WHO官方出版页核实。</w:t>
      </w:r>
    </w:p>
    <w:p>
      <w:r>
        <w:t>与本库相关规则：先辨别特异性病因和红旗，不能外推到术后、肿瘤或急性神经恶化。</w:t>
      </w:r>
    </w:p>
    <w:p>
      <w:r>
        <w:t>证据来源：</w:t>
      </w:r>
      <w:hyperlink r:id="rId16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R21 WHO standards for prosthetics and orthotics</w:t>
      </w:r>
    </w:p>
    <w:p>
      <w:r>
        <w:t>发布机构：WHO与ISPO协作。版本年份：2017。文件性质：国际服务标准。适用范围：假肢矫形器服务。</w:t>
      </w:r>
    </w:p>
    <w:p>
      <w:r>
        <w:t>核验日期：2026年10月31日。核验范围与限制：WHO官方出版页核实。</w:t>
      </w:r>
    </w:p>
    <w:p>
      <w:r>
        <w:t>与本库相关规则：适配、训练、皮肤检查和随访构成连续服务，装配不等于掌握。</w:t>
      </w:r>
    </w:p>
    <w:p>
      <w:r>
        <w:t>证据来源：</w:t>
      </w:r>
      <w:hyperlink r:id="rId17">
        <w:r>
          <w:rPr>
            <w:color w:val="000000"/>
          </w:rPr>
          <w:t>打开原始发布页面</w:t>
        </w:r>
      </w:hyperlink>
    </w:p>
    <w:p>
      <w:bookmarkStart w:id="12" w:name="sec12"/>
      <w:pPr>
        <w:pStyle w:val="Heading1"/>
      </w:pPr>
      <w:r>
        <w:t>版本更新与使用维护</w:t>
      </w:r>
      <w:bookmarkEnd w:id="12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07模块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gfxwj/201105/0fa3554447e84949aa129e88bb1cc7b6.shtml" TargetMode="External"/><Relationship Id="rId12" Type="http://schemas.openxmlformats.org/officeDocument/2006/relationships/hyperlink" Target="https://www.who.int/standards/classifications/international-classification-of-functioning-disability-and-health" TargetMode="External"/><Relationship Id="rId13" Type="http://schemas.openxmlformats.org/officeDocument/2006/relationships/hyperlink" Target="https://www.aaos.org/quality/quality-programs/hip-fractures-in-older-adults/" TargetMode="External"/><Relationship Id="rId14" Type="http://schemas.openxmlformats.org/officeDocument/2006/relationships/hyperlink" Target="https://cjpmr.tjh.com.cn/ch/reader/view_abstract.aspx?file_no=2301201057&amp;flag=1" TargetMode="External"/><Relationship Id="rId15" Type="http://schemas.openxmlformats.org/officeDocument/2006/relationships/hyperlink" Target="https://rs.yiigle.com/cmaid/1666611" TargetMode="External"/><Relationship Id="rId16" Type="http://schemas.openxmlformats.org/officeDocument/2006/relationships/hyperlink" Target="https://www.who.int/publications/i/item/9789240081789" TargetMode="External"/><Relationship Id="rId17" Type="http://schemas.openxmlformats.org/officeDocument/2006/relationships/hyperlink" Target="https://www.who.int/publications/i/item/97892415124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康复治疗决策运动处方物理因子治疗及医嘱表达规则库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