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spacing w:before="700"/>
      </w:pPr>
      <w:r>
        <w:t>康复医学科AI病历书写系统</w:t>
      </w:r>
    </w:p>
    <w:p>
      <w:pPr>
        <w:pStyle w:val="Title"/>
      </w:pPr>
      <w:r>
        <w:t>08 康复医学科三级医师查房决策与多学科团队协作模板库</w:t>
      </w:r>
    </w:p>
    <w:p>
      <w:pPr>
        <w:pStyle w:val="Subtitle"/>
      </w:pPr>
      <w:r>
        <w:t>V1.0  第二级规则库</w:t>
      </w:r>
    </w:p>
    <w:p>
      <w:r>
        <w:t>创建与核验基准  2026年10月31日</w:t>
      </w:r>
    </w:p>
    <w:p>
      <w:r>
        <w:t>体现三级查房决策差异，追溯MDT意见与采纳过程。正文提供临床资料契约、专业规则、可填充模板、完整虚构病例与质量控制。</w:t>
      </w:r>
    </w:p>
    <w:p>
      <w:r>
        <w:t>使用范围  中国医院康复医学科及相关康复场景。用于医师审核前的医学文书辅助，实际评定、治疗许可、处方、执行、沟通及签名由有权限的专业人员完成。</w:t>
      </w:r>
    </w:p>
    <w:p>
      <w:r>
        <w:t>交付边界  本文件是Word规则库，未部署后台或接入EMR。文中模板变量与模拟资料必须和真实患者隔离；指南核验范围逐项标明。</w:t>
      </w:r>
    </w:p>
    <w:p>
      <w:r>
        <w:br w:type="page"/>
      </w:r>
    </w:p>
    <w:p>
      <w:pPr>
        <w:pStyle w:val="Title"/>
      </w:pPr>
      <w:r>
        <w:t>目录</w:t>
      </w:r>
    </w:p>
    <w:p>
      <w:r>
        <w:t>点击条目可跳转。软件与字体会影响分页；在Word或WPS中右键目录并更新整个目录，可刷新当前页码，亦可使用标题导航。</w:t>
      </w:r>
    </w:p>
    <w:p>
      <w:pPr>
        <w:tabs>
          <w:tab w:pos="9184" w:val="right" w:leader="dot"/>
        </w:tabs>
        <w:spacing w:after="80" w:line="264" w:lineRule="auto"/>
      </w:pPr>
      <w:r>
        <w:fldChar w:fldCharType="begin"/>
        <w:instrText xml:space="preserve"> TOC \o "1-1" \h \z \u </w:instrText>
        <w:fldChar w:fldCharType="separate"/>
      </w:r>
      <w:hyperlink w:anchor="sec0">
        <w:r>
          <w:rPr>
            <w:color w:val="000000"/>
          </w:rPr>
          <w:t>模块定位与自动调用</w:t>
        </w:r>
      </w:hyperlink>
      <w:r>
        <w:tab/>
        <w:t>3</w:t>
      </w:r>
    </w:p>
    <w:p>
      <w:pPr>
        <w:tabs>
          <w:tab w:pos="9184" w:val="right" w:leader="dot"/>
        </w:tabs>
        <w:spacing w:after="80" w:line="264" w:lineRule="auto"/>
      </w:pPr>
      <w:hyperlink w:anchor="sec1">
        <w:r>
          <w:rPr>
            <w:color w:val="000000"/>
          </w:rPr>
          <w:t>事实来源与状态契约</w:t>
        </w:r>
      </w:hyperlink>
      <w:r>
        <w:tab/>
        <w:t>3</w:t>
      </w:r>
    </w:p>
    <w:p>
      <w:pPr>
        <w:tabs>
          <w:tab w:pos="9184" w:val="right" w:leader="dot"/>
        </w:tabs>
        <w:spacing w:after="80" w:line="264" w:lineRule="auto"/>
      </w:pPr>
      <w:hyperlink w:anchor="sec2">
        <w:r>
          <w:rPr>
            <w:color w:val="000000"/>
          </w:rPr>
          <w:t>三级查房的医学决策差异</w:t>
        </w:r>
      </w:hyperlink>
      <w:r>
        <w:tab/>
        <w:t>3</w:t>
      </w:r>
    </w:p>
    <w:p>
      <w:pPr>
        <w:tabs>
          <w:tab w:pos="9184" w:val="right" w:leader="dot"/>
        </w:tabs>
        <w:spacing w:after="80" w:line="264" w:lineRule="auto"/>
      </w:pPr>
      <w:hyperlink w:anchor="sec3">
        <w:r>
          <w:rPr>
            <w:color w:val="000000"/>
          </w:rPr>
          <w:t>23场景分层查房重点</w:t>
        </w:r>
      </w:hyperlink>
      <w:r>
        <w:tab/>
        <w:t>4</w:t>
      </w:r>
    </w:p>
    <w:p>
      <w:pPr>
        <w:tabs>
          <w:tab w:pos="9184" w:val="right" w:leader="dot"/>
        </w:tabs>
        <w:spacing w:after="80" w:line="264" w:lineRule="auto"/>
      </w:pPr>
      <w:hyperlink w:anchor="sec4">
        <w:r>
          <w:rPr>
            <w:color w:val="000000"/>
          </w:rPr>
          <w:t>三级标准正文模板</w:t>
        </w:r>
      </w:hyperlink>
      <w:r>
        <w:tab/>
        <w:t>7</w:t>
      </w:r>
    </w:p>
    <w:p>
      <w:pPr>
        <w:tabs>
          <w:tab w:pos="9184" w:val="right" w:leader="dot"/>
        </w:tabs>
        <w:spacing w:after="80" w:line="264" w:lineRule="auto"/>
      </w:pPr>
      <w:hyperlink w:anchor="sec5">
        <w:r>
          <w:rPr>
            <w:color w:val="000000"/>
          </w:rPr>
          <w:t>MDT职责与意见流转</w:t>
        </w:r>
      </w:hyperlink>
      <w:r>
        <w:tab/>
        <w:t>8</w:t>
      </w:r>
    </w:p>
    <w:p>
      <w:pPr>
        <w:tabs>
          <w:tab w:pos="9184" w:val="right" w:leader="dot"/>
        </w:tabs>
        <w:spacing w:after="80" w:line="264" w:lineRule="auto"/>
      </w:pPr>
      <w:hyperlink w:anchor="sec6">
        <w:r>
          <w:rPr>
            <w:color w:val="000000"/>
          </w:rPr>
          <w:t>MDT记录模板</w:t>
        </w:r>
      </w:hyperlink>
      <w:r>
        <w:tab/>
        <w:t>8</w:t>
      </w:r>
    </w:p>
    <w:p>
      <w:pPr>
        <w:tabs>
          <w:tab w:pos="9184" w:val="right" w:leader="dot"/>
        </w:tabs>
        <w:spacing w:after="80" w:line="264" w:lineRule="auto"/>
      </w:pPr>
      <w:hyperlink w:anchor="sec7">
        <w:r>
          <w:rPr>
            <w:color w:val="000000"/>
          </w:rPr>
          <w:t>完整虚构病例与书写演示</w:t>
        </w:r>
      </w:hyperlink>
      <w:r>
        <w:tab/>
        <w:t>9</w:t>
      </w:r>
    </w:p>
    <w:p>
      <w:pPr>
        <w:tabs>
          <w:tab w:pos="9184" w:val="right" w:leader="dot"/>
        </w:tabs>
        <w:spacing w:after="80" w:line="264" w:lineRule="auto"/>
      </w:pPr>
      <w:hyperlink w:anchor="sec8">
        <w:r>
          <w:rPr>
            <w:color w:val="000000"/>
          </w:rPr>
          <w:t>输出格式与真实性限制</w:t>
        </w:r>
      </w:hyperlink>
      <w:r>
        <w:tab/>
        <w:t>9</w:t>
      </w:r>
    </w:p>
    <w:p>
      <w:pPr>
        <w:tabs>
          <w:tab w:pos="9184" w:val="right" w:leader="dot"/>
        </w:tabs>
        <w:spacing w:after="80" w:line="264" w:lineRule="auto"/>
      </w:pPr>
      <w:hyperlink w:anchor="sec9">
        <w:r>
          <w:rPr>
            <w:color w:val="000000"/>
          </w:rPr>
          <w:t>常见错误与最终质控清单</w:t>
        </w:r>
      </w:hyperlink>
      <w:r>
        <w:tab/>
        <w:t>10</w:t>
      </w:r>
    </w:p>
    <w:p>
      <w:pPr>
        <w:tabs>
          <w:tab w:pos="9184" w:val="right" w:leader="dot"/>
        </w:tabs>
        <w:spacing w:after="80" w:line="264" w:lineRule="auto"/>
      </w:pPr>
      <w:hyperlink w:anchor="sec10">
        <w:r>
          <w:rPr>
            <w:color w:val="000000"/>
          </w:rPr>
          <w:t>模块协同关系</w:t>
        </w:r>
      </w:hyperlink>
      <w:r>
        <w:tab/>
        <w:t>10</w:t>
      </w:r>
    </w:p>
    <w:p>
      <w:pPr>
        <w:tabs>
          <w:tab w:pos="9184" w:val="right" w:leader="dot"/>
        </w:tabs>
        <w:spacing w:after="80" w:line="264" w:lineRule="auto"/>
      </w:pPr>
      <w:hyperlink w:anchor="sec11">
        <w:r>
          <w:rPr>
            <w:color w:val="000000"/>
          </w:rPr>
          <w:t>指南与规范核验</w:t>
        </w:r>
      </w:hyperlink>
      <w:r>
        <w:tab/>
        <w:t>10</w:t>
      </w:r>
    </w:p>
    <w:p>
      <w:pPr>
        <w:tabs>
          <w:tab w:pos="9184" w:val="right" w:leader="dot"/>
        </w:tabs>
        <w:spacing w:after="80" w:line="264" w:lineRule="auto"/>
      </w:pPr>
      <w:hyperlink w:anchor="sec12">
        <w:r>
          <w:rPr>
            <w:color w:val="000000"/>
          </w:rPr>
          <w:t>版本更新与使用维护</w:t>
        </w:r>
      </w:hyperlink>
      <w:r>
        <w:tab/>
        <w:t>11</w:t>
      </w:r>
      <w:r>
        <w:fldChar w:fldCharType="end"/>
      </w:r>
    </w:p>
    <w:p>
      <w:r>
        <w:br w:type="page"/>
      </w:r>
    </w:p>
    <w:p>
      <w:bookmarkStart w:id="0" w:name="sec0"/>
      <w:pPr>
        <w:pStyle w:val="Heading1"/>
      </w:pPr>
      <w:r>
        <w:t>模块定位与自动调用</w:t>
      </w:r>
      <w:bookmarkEnd w:id="0"/>
    </w:p>
    <w:p>
      <w:r>
        <w:t>功能定位：体现三级查房决策差异，追溯MDT意见与采纳过程。本模块面向中国医院康复医师及具备权限的相关专业人员，作为医师审核前的规则与文书草稿库。</w:t>
      </w:r>
    </w:p>
    <w:p>
      <w:r>
        <w:t>适用场景：本模块题名对应的评定、病程、处方、执行或质控任务；不要求把所有检查和治疗强加给每位患者。由00识别任务、01约束、11建立病例状态后按需加载本模块，输出前强制调用10。</w:t>
      </w:r>
    </w:p>
    <w:p>
      <w:r>
        <w:t>必需患者资料：可靠患者与本次住院标识，文书时间，相关原发疾病和阶段，本次实际症状及查体，带日期的功能评定，现行活动和负重许可，相关处方及实际执行记录；上级意见、沟通、出院去向仅在实际发生时提供。资料不足按具体任务分为阻断、限结论和可省略。</w:t>
      </w:r>
    </w:p>
    <w:p>
      <w:bookmarkStart w:id="1" w:name="sec1"/>
      <w:pPr>
        <w:pStyle w:val="Heading1"/>
      </w:pPr>
      <w:r>
        <w:t>事实来源与状态契约</w:t>
      </w:r>
      <w:bookmarkEnd w:id="1"/>
    </w:p>
    <w:p>
      <w:r>
        <w:t>每条事实关联patient_id、encounter_id、事件ID、发生时间observed_at、记录时间recorded_at、结果可获得时间available_at、来源source_id、记录者和核验状态。床号不作为唯一身份。不同患者、不同住院与同次住院不同治疗事件分开；历史资料可引用并标明日期，不能成为今日结果。</w:t>
      </w:r>
    </w:p>
    <w:p>
      <w:r>
        <w:t>原发疾病、结构损伤、功能障碍、活动限制、参与受限、环境与照护、评定结果、治疗计划、实际治疗、客观变化分别表达。诊断状态分确诊、临床考虑、待排、风险和未知；未知不等于阴性。患者自述改善不等于客观评分提高，肌力改善不等于独立步行，影像修复不等于获得活动许可。</w:t>
      </w:r>
    </w:p>
    <w:p>
      <w:r>
        <w:t>医学建议、医师确认、正式处方、排程、开始、完成、暂停、取消和终止分别留痕。治疗师建议不能替代医师确认，医嘱不能替代执行记录。AI只能起草供审核文本，不能直接实施治疗、升级负重、调整饮食、下发医嘱、伪造沟通或代签。</w:t>
      </w:r>
    </w:p>
    <w:p>
      <w:bookmarkStart w:id="2" w:name="sec2"/>
      <w:pPr>
        <w:pStyle w:val="Heading1"/>
      </w:pPr>
      <w:r>
        <w:t>三级查房的医学决策差异</w:t>
      </w:r>
      <w:bookmarkEnd w:id="2"/>
    </w:p>
    <w:p>
      <w:r>
        <w:t>主治医师核对当日症状、当次查体、带日期功能资料、实际训练及反应，解决近期执行与安全问题。副主任医师复核功能障碍机制、定位及鉴别，分析无效或恶化原因，权衡治疗调整和并发症。主任医师整合复杂问题、预后不确定性、重大目标、长期参与和出院路径。</w:t>
      </w:r>
    </w:p>
    <w:p>
      <w:r>
        <w:t>所有层级必须有实际到场、姓名职称、当次意见和来源。未提供意见只可起草“供该层级审核的病情摘要”，不能声称该医师已作判断。下列各层级重点只表示应询问和整理的内容，不代表任何医师已表达该意见。</w:t>
      </w:r>
    </w:p>
    <w:p>
      <w:bookmarkStart w:id="3" w:name="sec3"/>
      <w:pPr>
        <w:pStyle w:val="Heading1"/>
      </w:pPr>
      <w:r>
        <w:t>23场景分层查房重点</w:t>
      </w:r>
      <w:bookmarkEnd w:id="3"/>
    </w:p>
    <w:p>
      <w:pPr>
        <w:pStyle w:val="Heading2"/>
      </w:pPr>
      <w:r>
        <w:t>脑梗死</w:t>
      </w:r>
    </w:p>
    <w:p>
      <w:r>
        <w:t>主治医师：核对今日移动和ADL、PT执行及反应。副主任医师：分析运动控制与感觉忽略等机制、疗效不足原因。主任医师：综合家庭与社区参与预后、出院去向与重大目标。三层均核实当前功能、目标、许可、实际剂量及风险；无真实意见时不自动填上述判断。</w:t>
      </w:r>
    </w:p>
    <w:p>
      <w:pPr>
        <w:pStyle w:val="Heading2"/>
      </w:pPr>
      <w:r>
        <w:t>脑出血</w:t>
      </w:r>
    </w:p>
    <w:p>
      <w:r>
        <w:t>主治医师：核对意识和当日神经状态、现行活动许可。副主任医师：分析神经恢复与再出血等风险、方案取舍。主任医师：综合重症后功能预后和长期照护路径。三层均核实当前功能、目标、许可、实际剂量及风险；无真实意见时不自动填上述判断。</w:t>
      </w:r>
    </w:p>
    <w:p>
      <w:pPr>
        <w:pStyle w:val="Heading2"/>
      </w:pPr>
      <w:r>
        <w:t>颅脑损伤</w:t>
      </w:r>
    </w:p>
    <w:p>
      <w:r>
        <w:t>主治医师：核对觉醒、行为、姿势及训练配合。副主任医师：分析意识障碍与药物疲劳、疼痛等混杂。主任医师：综合恢复不确定性、家庭沟通与转介。三层均核实当前功能、目标、许可、实际剂量及风险；无真实意见时不自动填上述判断。</w:t>
      </w:r>
    </w:p>
    <w:p>
      <w:pPr>
        <w:pStyle w:val="Heading2"/>
      </w:pPr>
      <w:r>
        <w:t>脊髓损伤</w:t>
      </w:r>
    </w:p>
    <w:p>
      <w:r>
        <w:t>主治医师：核对皮肤、排尿、直立及转移执行。副主任医师：分析神经分类证据、稳定性与自主神经风险。主任医师：综合轮椅或步行等主要生活路径及社区衔接。三层均核实当前功能、目标、许可、实际剂量及风险；无真实意见时不自动填上述判断。</w:t>
      </w:r>
    </w:p>
    <w:p>
      <w:pPr>
        <w:pStyle w:val="Heading2"/>
      </w:pPr>
      <w:r>
        <w:t>周围神经损伤</w:t>
      </w:r>
    </w:p>
    <w:p>
      <w:r>
        <w:t>主治医师：核对局部运动感觉与保护执行。副主任医师：分析病变定位、电生理与代偿机制。主任医师：综合再生不确定性、返岗及辅具策略。三层均核实当前功能、目标、许可、实际剂量及风险；无真实意见时不自动填上述判断。</w:t>
      </w:r>
    </w:p>
    <w:p>
      <w:pPr>
        <w:pStyle w:val="Heading2"/>
      </w:pPr>
      <w:r>
        <w:t>关节置换</w:t>
      </w:r>
    </w:p>
    <w:p>
      <w:r>
        <w:t>主治医师：核对切口、疼痛、转移和负重医嘱。副主任医师：分析入路、修复和脱位风险对训练的限制。主任医师：综合复杂功能目标与出院照护可行性。三层均核实当前功能、目标、许可、实际剂量及风险；无真实意见时不自动填上述判断。</w:t>
      </w:r>
    </w:p>
    <w:p>
      <w:pPr>
        <w:pStyle w:val="Heading2"/>
      </w:pPr>
      <w:r>
        <w:t>骨折</w:t>
      </w:r>
    </w:p>
    <w:p>
      <w:r>
        <w:t>主治医师：核对结构保护、当前许可和实际训练。副主任医师：分析固定与软组织风险、是否需外科复核。主任医师：综合多病共存下的功能预后和分阶段安排。三层均核实当前功能、目标、许可、实际剂量及风险；无真实意见时不自动填上述判断。</w:t>
      </w:r>
    </w:p>
    <w:p>
      <w:pPr>
        <w:pStyle w:val="Heading2"/>
      </w:pPr>
      <w:r>
        <w:t>脊柱术后</w:t>
      </w:r>
    </w:p>
    <w:p>
      <w:r>
        <w:t>主治医师：核对神经实查、支具和转移执行。副主任医师：分析减压融合与神经功能变化的鉴别。主任医师：综合长期功能与返岗目标及治疗取舍。三层均核实当前功能、目标、许可、实际剂量及风险；无真实意见时不自动填上述判断。</w:t>
      </w:r>
    </w:p>
    <w:p>
      <w:pPr>
        <w:pStyle w:val="Heading2"/>
      </w:pPr>
      <w:r>
        <w:t>吞咽障碍</w:t>
      </w:r>
    </w:p>
    <w:p>
      <w:r>
        <w:t>主治医师：核对实际质地许可、摄食表现和ST执行。副主任医师：分析床旁与仪器证据、误吸及营养风险。主任医师：综合长期进食通路、照护能力和生活质量。三层均核实当前功能、目标、许可、实际剂量及风险；无真实意见时不自动填上述判断。</w:t>
      </w:r>
    </w:p>
    <w:p>
      <w:pPr>
        <w:pStyle w:val="Heading2"/>
      </w:pPr>
      <w:r>
        <w:t>失语症</w:t>
      </w:r>
    </w:p>
    <w:p>
      <w:r>
        <w:t>主治医师：核对当日交流与提示需求。副主任医师：分析失语、构音、失用及听力认知干扰。主任医师：综合交流参与、辅助技术及家庭策略。三层均核实当前功能、目标、许可、实际剂量及风险；无真实意见时不自动填上述判断。</w:t>
      </w:r>
    </w:p>
    <w:p>
      <w:pPr>
        <w:pStyle w:val="Heading2"/>
      </w:pPr>
      <w:r>
        <w:t>认知障碍</w:t>
      </w:r>
    </w:p>
    <w:p>
      <w:r>
        <w:t>主治医师：核对注意与安全任务、实际训练。副主任医师：分析谵妄、情绪、语言或感觉影响鉴别。主任医师：综合监督需求、决策支持和社会参与目标。三层均核实当前功能、目标、许可、实际剂量及风险；无真实意见时不自动填上述判断。</w:t>
      </w:r>
    </w:p>
    <w:p>
      <w:pPr>
        <w:pStyle w:val="Heading2"/>
      </w:pPr>
      <w:r>
        <w:t>心肺康复</w:t>
      </w:r>
    </w:p>
    <w:p>
      <w:r>
        <w:t>主治医师：核对实际负荷氧疗、症状监测。副主任医师：分析循环呼吸限制机制及处方取舍。主任医师：综合长期风险分层、居家监测和阶段衔接。三层均核实当前功能、目标、许可、实际剂量及风险；无真实意见时不自动填上述判断。</w:t>
      </w:r>
    </w:p>
    <w:p>
      <w:pPr>
        <w:pStyle w:val="Heading2"/>
      </w:pPr>
      <w:r>
        <w:t>ICU获得性衰弱</w:t>
      </w:r>
    </w:p>
    <w:p>
      <w:r>
        <w:t>主治医师：核对合作程度、设备和真实活动量。副主任医师：分析神经肌病等鉴别、早期活动风险。主任医师：综合PICS多领域目标、转出和长期管理。三层均核实当前功能、目标、许可、实际剂量及风险；无真实意见时不自动填上述判断。</w:t>
      </w:r>
    </w:p>
    <w:p>
      <w:pPr>
        <w:pStyle w:val="Heading2"/>
      </w:pPr>
      <w:r>
        <w:t>老年衰弱</w:t>
      </w:r>
    </w:p>
    <w:p>
      <w:r>
        <w:t>主治医师：核对摄入、用药、疲劳与ADL。副主任医师：分析可逆病因、多病和治疗负担取舍。主任医师：综合患者偏好、照护资源和出院路径。三层均核实当前功能、目标、许可、实际剂量及风险；无真实意见时不自动填上述判断。</w:t>
      </w:r>
    </w:p>
    <w:p>
      <w:pPr>
        <w:pStyle w:val="Heading2"/>
      </w:pPr>
      <w:r>
        <w:t>儿童康复</w:t>
      </w:r>
    </w:p>
    <w:p>
      <w:r>
        <w:t>主治医师：核对年龄任务、疲劳和家长练习。副主任医师：分析发育差异、行为感觉及骨关节共病。主任医师：综合长期生长、学校参与和家庭负担。三层均核实当前功能、目标、许可、实际剂量及风险；无真实意见时不自动填上述判断。</w:t>
      </w:r>
    </w:p>
    <w:p>
      <w:pPr>
        <w:pStyle w:val="Heading2"/>
      </w:pPr>
      <w:r>
        <w:t>慢性疼痛</w:t>
      </w:r>
    </w:p>
    <w:p>
      <w:r>
        <w:t>主治医师：核对疼痛场景、活动和执行。副主任医师：分析红旗、机制、恐惧回避与不必要治疗。主任医师：综合功能恢复和长期自我管理路径。三层均核实当前功能、目标、许可、实际剂量及风险；无真实意见时不自动填上述判断。</w:t>
      </w:r>
    </w:p>
    <w:p>
      <w:pPr>
        <w:pStyle w:val="Heading2"/>
      </w:pPr>
      <w:r>
        <w:t>痉挛</w:t>
      </w:r>
    </w:p>
    <w:p>
      <w:r>
        <w:t>主治医师：核对触发因素、张力与照护任务。副主任医师：分析动态痉挛和挛缩鉴别、保留有用张力。主任医师：综合药物或局部干预的重大目标与预后。三层均核实当前功能、目标、许可、实际剂量及风险；无真实意见时不自动填上述判断。</w:t>
      </w:r>
    </w:p>
    <w:p>
      <w:pPr>
        <w:pStyle w:val="Heading2"/>
      </w:pPr>
      <w:r>
        <w:t>截肢假肢</w:t>
      </w:r>
    </w:p>
    <w:p>
      <w:r>
        <w:t>主治医师：核对残肢皮肤、穿戴和训练。副主任医师：分析适配、心肺、疼痛及步态限制机制。主任医师：综合假肢与轮椅双路径、返岗和随访。三层均核实当前功能、目标、许可、实际剂量及风险；无真实意见时不自动填上述判断。</w:t>
      </w:r>
    </w:p>
    <w:p>
      <w:pPr>
        <w:pStyle w:val="Heading2"/>
      </w:pPr>
      <w:r>
        <w:t>目标调整</w:t>
      </w:r>
    </w:p>
    <w:p>
      <w:r>
        <w:t>主治医师：核对目标进度及实际剂量。副主任医师：分析未达成的原因、可修改因素。主任医师：综合重新约定重大目标、资源和去向。三层均核实当前功能、目标、许可、实际剂量及风险；无真实意见时不自动填上述判断。</w:t>
      </w:r>
    </w:p>
    <w:p>
      <w:pPr>
        <w:pStyle w:val="Heading2"/>
      </w:pPr>
      <w:r>
        <w:t>中期复评</w:t>
      </w:r>
    </w:p>
    <w:p>
      <w:r>
        <w:t>主治医师：核对配对实测及任务条件。副主任医师：分析结果有效性、趋势和方案取舍。主任医师：综合下一阶段优先目标与长期衔接。三层均核实当前功能、目标、许可、实际剂量及风险；无真实意见时不自动填上述判断。</w:t>
      </w:r>
    </w:p>
    <w:p>
      <w:pPr>
        <w:pStyle w:val="Heading2"/>
      </w:pPr>
      <w:r>
        <w:t>治疗不良事件</w:t>
      </w:r>
    </w:p>
    <w:p>
      <w:r>
        <w:t>主治医师：核对事件时序、停止及实际处置。副主任医师：分析原因鉴别、风险与复训条件。主任医师：综合重大安全决策及多学科复核。三层均核实当前功能、目标、许可、实际剂量及风险；无真实意见时不自动填上述判断。</w:t>
      </w:r>
    </w:p>
    <w:p>
      <w:pPr>
        <w:pStyle w:val="Heading2"/>
      </w:pPr>
      <w:r>
        <w:t>MDT</w:t>
      </w:r>
    </w:p>
    <w:p>
      <w:r>
        <w:t>主治医师：核对各专业最新事实和未决任务。副主任医师：分析跨专业矛盾与职责划分。主任医师：综合共识范围、重大取舍和责任时限。三层均核实当前功能、目标、许可、实际剂量及风险；无真实意见时不自动填上述判断。</w:t>
      </w:r>
    </w:p>
    <w:p>
      <w:pPr>
        <w:pStyle w:val="Heading2"/>
      </w:pPr>
      <w:r>
        <w:t>出院前</w:t>
      </w:r>
    </w:p>
    <w:p>
      <w:r>
        <w:t>主治医师：核对疾病稳定、功能和照护核对。副主任医师：分析照护缺口、辅具及环境适配。主任医师：综合出院去向、长期参与及风险应对。三层均核实当前功能、目标、许可、实际剂量及风险；无真实意见时不自动填上述判断。</w:t>
      </w:r>
    </w:p>
    <w:p>
      <w:bookmarkStart w:id="4" w:name="sec4"/>
      <w:pPr>
        <w:pStyle w:val="Heading1"/>
      </w:pPr>
      <w:r>
        <w:t>三级标准正文模板</w:t>
      </w:r>
      <w:bookmarkEnd w:id="4"/>
    </w:p>
    <w:p>
      <w:r>
        <w:t>【文书日期及时间】 主治医师查房记录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实际姓名】主治医师查房，患者诉【当日症状和功能变化】。今日查体【实际专科及相关全身检查】。功能评定【评定日期、版本与真实结果】。主治医师分析【围绕当日执行、训练反应、安全性及近期计划的真实意见】。目前【实际执行及反应】，后续【经确认的方案、限制和复评条件】。</w:t>
      </w:r>
    </w:p>
    <w:p>
      <w:pPr>
        <w:pStyle w:val="Code"/>
      </w:pPr>
      <w:r>
        <w:t>```</w:t>
      </w:r>
    </w:p>
    <w:p>
      <w:r>
        <w:t>【文书日期及时间】 副主任医师查房记录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实际姓名】副主任医师查房，患者诉【当日症状和功能变化】。今日查体【实际专科及相关全身检查】。功能评定【评定日期、版本与真实结果】。副主任医师分析【围绕障碍机制与鉴别、疗效原因、治疗取舍和目标调整的真实意见】。目前【实际执行及反应】，后续【经确认的方案、限制和复评条件】。</w:t>
      </w:r>
    </w:p>
    <w:p>
      <w:pPr>
        <w:pStyle w:val="Code"/>
      </w:pPr>
      <w:r>
        <w:t>```</w:t>
      </w:r>
    </w:p>
    <w:p>
      <w:r>
        <w:t>【文书日期及时间】 主任医师查房记录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实际姓名】主任医师查房，患者诉【当日症状和功能变化】。今日查体【实际专科及相关全身检查】。功能评定【评定日期、版本与真实结果】。主任医师分析【围绕复杂障碍、预后不确定性、重大目标、参与和出院路径的真实意见】。目前【实际执行及反应】，后续【经确认的方案、限制和复评条件】。</w:t>
      </w:r>
    </w:p>
    <w:p>
      <w:pPr>
        <w:pStyle w:val="Code"/>
      </w:pPr>
      <w:r>
        <w:t>```</w:t>
      </w:r>
    </w:p>
    <w:p>
      <w:bookmarkStart w:id="5" w:name="sec5"/>
      <w:pPr>
        <w:pStyle w:val="Heading1"/>
      </w:pPr>
      <w:r>
        <w:t>MDT职责与意见流转</w:t>
      </w:r>
      <w:bookmarkEnd w:id="5"/>
    </w:p>
    <w:p>
      <w:r>
        <w:t>康复医师负责疾病与功能综合决策；PT负责姿势移动等实评和执行；OT负责作业任务和环境；ST负责语言言语交流及吞咽相关评估执行；护士提供护理观察、照护及执行来源；营养师、心理专业人员、社会工作者和其他成员按实际资格与参与记录。不得虚构任何人员到场。</w:t>
      </w:r>
    </w:p>
    <w:p>
      <w:r>
        <w:t>会议分申请、已安排、已召开、共识形成、医师确认、医嘱开立与执行反馈。分别保存原始意见、采纳意见、未采纳理由及未决分歧。PT建议增加步行不等于主任许可，ST建议调整质地不等于已执行饮食变更。</w:t>
      </w:r>
    </w:p>
    <w:p>
      <w:bookmarkStart w:id="6" w:name="sec6"/>
      <w:pPr>
        <w:pStyle w:val="Heading1"/>
      </w:pPr>
      <w:r>
        <w:t>MDT记录模板</w:t>
      </w:r>
      <w:bookmarkEnd w:id="6"/>
    </w:p>
    <w:p>
      <w:r>
        <w:t>【文书日期及时间】 康复MDT会议记录</w:t>
      </w:r>
    </w:p>
    <w:p>
      <w:pPr>
        <w:pStyle w:val="Code"/>
      </w:pPr>
      <w:r>
        <w:t>```text</w:t>
      </w:r>
    </w:p>
    <w:p>
      <w:pPr>
        <w:pStyle w:val="Code"/>
      </w:pPr>
      <w:r>
        <w:t>会议时间与实际参与者：【资料】</w:t>
      </w:r>
    </w:p>
    <w:p>
      <w:pPr>
        <w:pStyle w:val="Code"/>
      </w:pPr>
      <w:r>
        <w:t>原发疾病与ICF核心问题：【证据】</w:t>
      </w:r>
    </w:p>
    <w:p>
      <w:pPr>
        <w:pStyle w:val="Code"/>
      </w:pPr>
      <w:r>
        <w:t>各专业意见：【逐人原意及来源】</w:t>
      </w:r>
    </w:p>
    <w:p>
      <w:pPr>
        <w:pStyle w:val="Code"/>
      </w:pPr>
      <w:r>
        <w:t>共识与分歧：【实际结论】</w:t>
      </w:r>
    </w:p>
    <w:p>
      <w:pPr>
        <w:pStyle w:val="Code"/>
      </w:pPr>
      <w:r>
        <w:t>目标和责任分工：【责任人、完成条件和复评时点】</w:t>
      </w:r>
    </w:p>
    <w:p>
      <w:pPr>
        <w:pStyle w:val="Code"/>
      </w:pPr>
      <w:r>
        <w:t>医师确认及执行衔接：【已确认或待确认事项】</w:t>
      </w:r>
    </w:p>
    <w:p>
      <w:pPr>
        <w:pStyle w:val="Code"/>
      </w:pPr>
      <w:r>
        <w:t>```</w:t>
      </w:r>
    </w:p>
    <w:p>
      <w:bookmarkStart w:id="7" w:name="sec7"/>
      <w:pPr>
        <w:pStyle w:val="Heading1"/>
      </w:pPr>
      <w:r>
        <w:t>完整虚构病例与书写演示</w:t>
      </w:r>
      <w:bookmarkEnd w:id="7"/>
    </w:p>
    <w:p>
      <w:r>
        <w:t>本节资料全部虚构，仅用于教学和规则测试，禁止并入真实患者记录。</w:t>
      </w:r>
    </w:p>
    <w:p>
      <w:r>
        <w:t>虚构患者SIM009，住院SIM009-E01，男，62岁，2026年10月20日入院。10月1日发病，转诊资料记录脑梗死恢复期，本次主要目标为改善床椅转移和穿衣。发病前可独立生活，妻子为拟照护者，家有电梯但浴室设施尚未现场核实。病史、查体、处方与治疗分源保存。</w:t>
      </w:r>
    </w:p>
    <w:p>
      <w:r>
        <w:t>10月30日09:00模拟康复医师甲检查：血压128/76 mmHg，心率76次/min，室内空气SpO2 97%，神志清楚；右肘屈肌MMT 3级，右膝伸肌MMT 3级；床椅转移需一人躯干帮助，穿上衣需协助；未完成步行及吞咽专科评定，不推断FAC、饮食质地或吞咽安全。</w:t>
      </w:r>
    </w:p>
    <w:p>
      <w:r>
        <w:t>10月30日医师确认当前床椅转移训练需一人保护并由PT执行，不授权独立步行。10月30日14:00至14:15模拟PT乙实际开展床椅转移4次，有效练习10分钟、间歇5分钟；第4次需增加帮助，未记录治疗后生命体征，不写耐受良好。OT、ST仅计划评估，无已执行记录。</w:t>
      </w:r>
    </w:p>
    <w:p>
      <w:r>
        <w:t>ICF问题：右侧运动功能下降，转移与穿衣活动受限，无法恢复原工作；照护者支持为潜在促进因素但能力未验证。近期目标为一周内在相同场景和保护条件下减少转移帮助，具体目标水平待团队与患者共同确认；长期目标为安全回归家庭。10月31日尚无新量表，不写评分提高。出院仍为计划，需复核照护者操作、居家卫生间与辅具适配；随访日期待临床确定。</w:t>
      </w:r>
    </w:p>
    <w:p>
      <w:r>
        <w:t>10月31日模拟主治甲仅确认需复核转移疲劳，模拟副主任丙提出查明疲劳是否与负荷或共病有关，模拟主任丁提出在明确照护能力后决定出院路径。三个意见均为本虚构病例设定，不可迁入真实记录。</w:t>
      </w:r>
    </w:p>
    <w:p>
      <w:r>
        <w:t>2026年10月31日 09:00 主任医师查房记录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模拟主任丁查房，患者诉转移仍需帮助。10月30日PT记录第4次转移需增加躯干帮助，今日未有新的标准化量表。主任医师分析，出院去向需同时考虑转移安全与照护能力，不能仅以疾病稳定判定可独立生活；拟先核实妻子的转移照护操作及浴室环境，再确定院外康复安排。</w:t>
      </w:r>
    </w:p>
    <w:p>
      <w:pPr>
        <w:pStyle w:val="Code"/>
      </w:pPr>
      <w:r>
        <w:t>```</w:t>
      </w:r>
    </w:p>
    <w:p>
      <w:bookmarkStart w:id="8" w:name="sec8"/>
      <w:pPr>
        <w:pStyle w:val="Heading1"/>
      </w:pPr>
      <w:r>
        <w:t>输出格式与真实性限制</w:t>
      </w:r>
      <w:bookmarkEnd w:id="8"/>
    </w:p>
    <w:p>
      <w:r>
        <w:t>日期、时间和完整文书标题置于代码框外；正式医学正文用独立Markdown text代码框。框内不重复题头，也不放AI前言或核对提示。日常病程及主治、副主任、主任查房正文连续一整段，无条目和空行；入院记录、首次病程、量表、处方、治疗执行、MDT、抢救、出院记录保留必要结构。抢救或治疗的临床事件时间仍须保留在正文。</w:t>
      </w:r>
    </w:p>
    <w:p>
      <w:r>
        <w:t>规则库中的【字段】是供填充的模板变量，不能成为真实患者事实；净稿必须替换全部变量。关键资料冲突时仅在框外给核对项并阻断受影响净稿，不能用“待核实”塞进一份看似完整的正式记录。非关键未测项按院内要求省略或明确未评定，不能填写正常。</w:t>
      </w:r>
    </w:p>
    <w:p>
      <w:bookmarkStart w:id="9" w:name="sec9"/>
      <w:pPr>
        <w:pStyle w:val="Heading1"/>
      </w:pPr>
      <w:r>
        <w:t>常见错误与最终质控清单</w:t>
      </w:r>
      <w:bookmarkEnd w:id="9"/>
    </w:p>
    <w:p>
      <w:r>
        <w:t>逐项核对身份与本次住院、侧别与损伤事件、疾病诊断及确定度、功能评定时间与版本、许可有效期、处方和执行状态、实际剂量和反应、目标证据、风险及异常事件、团队意见归属、出院去向及格式。上述各项不适用时注明理由，不以缺项代替阴性。</w:t>
      </w:r>
    </w:p>
    <w:p>
      <w:r>
        <w:t>严重问题：身份冲突、未经证实的评分或AIS、无许可升级活动负重、计划冒充执行、虚构人员意见、遗漏危急事件或吞咽安全许可。出现即阻断受影响净稿。重要问题：基线不可比、目标未量化且缺原因、执行剂量缺来源、家属能力未核。先退回相应模块补证或限制结论。一般问题：术语、单位、重复和排版，在不改变事实前提下修正。最终状态为通过、限结论通过或阻断，不能自行替医师签署。</w:t>
      </w:r>
    </w:p>
    <w:p>
      <w:bookmarkStart w:id="10" w:name="sec10"/>
      <w:pPr>
        <w:pStyle w:val="Heading1"/>
      </w:pPr>
      <w:r>
        <w:t>模块协同关系</w:t>
      </w:r>
      <w:bookmarkEnd w:id="10"/>
    </w:p>
    <w:p>
      <w:r>
        <w:t>00识别任务，01提供最高约束，11绑定患者、住院和事件。03提供功能事实及ICF问题表，04提供检查证据，05追踪治疗执行，06处理风险急变，07核对决策和处方，08管理真实查房与MDT，09关联目标和出院。101至108按实际问题联合调用。10最后审查，本模块不能跳过终审或覆盖01。</w:t>
      </w:r>
    </w:p>
    <w:p>
      <w:bookmarkStart w:id="11" w:name="sec11"/>
      <w:pPr>
        <w:pStyle w:val="Heading1"/>
      </w:pPr>
      <w:r>
        <w:t>指南与规范核验</w:t>
      </w:r>
      <w:bookmarkEnd w:id="11"/>
    </w:p>
    <w:p>
      <w:r>
        <w:t>检索基准为2026年10月31日。以下仅表示列明的核验范围；题录不等于已阅读全文，检索未见新版不等于证明不存在新版。团体标准、专家共识、推荐意见与国家或卫生行业标准分别标识。国外指南需结合中国批准范围和院内制度；具体技术参数、阈值和量表算法未核实则不内置。</w:t>
      </w:r>
    </w:p>
    <w:p>
      <w:pPr>
        <w:pStyle w:val="Heading3"/>
      </w:pPr>
      <w:r>
        <w:t>R01 病历书写基本规范</w:t>
      </w:r>
    </w:p>
    <w:p>
      <w:r>
        <w:t>发布机构：原卫生部。版本年份：2010 卫医政发〔2010〕11号。文件性质：部门规范性文件。适用范围：中国医疗机构医学文书。</w:t>
      </w:r>
    </w:p>
    <w:p>
      <w:r>
        <w:t>核验日期：2026年10月31日。核验范围与限制：官方发布页及检索正文可核实；页面直连部分请求受限。</w:t>
      </w:r>
    </w:p>
    <w:p>
      <w:r>
        <w:t>与本库相关规则：客观记录诊疗过程，实际记录者审核签名；不由AI代签。</w:t>
      </w:r>
    </w:p>
    <w:p>
      <w:r>
        <w:t>证据来源：</w:t>
      </w:r>
      <w:hyperlink r:id="rId11">
        <w:r>
          <w:rPr>
            <w:color w:val="000000"/>
          </w:rPr>
          <w:t>打开原始发布页面</w:t>
        </w:r>
      </w:hyperlink>
    </w:p>
    <w:p>
      <w:pPr>
        <w:pStyle w:val="Heading3"/>
      </w:pPr>
      <w:r>
        <w:t>R02 医疗质量安全核心制度要点</w:t>
      </w:r>
    </w:p>
    <w:p>
      <w:r>
        <w:t>发布机构：国家卫生健康委。版本年份：2018 国卫医发〔2018〕8号。文件性质：部门规范性文件。适用范围：医疗质量安全制度。</w:t>
      </w:r>
    </w:p>
    <w:p>
      <w:r>
        <w:t>核验日期：2026年10月31日。核验范围与限制：官方要点及解读页核实。</w:t>
      </w:r>
    </w:p>
    <w:p>
      <w:r>
        <w:t>与本库相关规则：三级查房、会诊、抢救和信息安全按院内落实细则执行。</w:t>
      </w:r>
    </w:p>
    <w:p>
      <w:r>
        <w:t>证据来源：</w:t>
      </w:r>
      <w:hyperlink r:id="rId12">
        <w:r>
          <w:rPr>
            <w:color w:val="000000"/>
          </w:rPr>
          <w:t>打开原始发布页面</w:t>
        </w:r>
      </w:hyperlink>
    </w:p>
    <w:p>
      <w:pPr>
        <w:pStyle w:val="Heading3"/>
      </w:pPr>
      <w:r>
        <w:t>R03 综合医院康复医学科建设与管理指南</w:t>
      </w:r>
    </w:p>
    <w:p>
      <w:r>
        <w:t>发布机构：原卫生部。版本年份：2011 卫医政发〔2011〕31号。文件性质：部门规范性文件。适用范围：综合医院康复医学科。</w:t>
      </w:r>
    </w:p>
    <w:p>
      <w:r>
        <w:t>核验日期：2026年10月31日。核验范围与限制：官方全文可见；不声称检索已穷尽所有后续地方规范。</w:t>
      </w:r>
    </w:p>
    <w:p>
      <w:r>
        <w:t>与本库相关规则：以功能评定和团队协作为专科基础，明确医师和治疗人员职责。</w:t>
      </w:r>
    </w:p>
    <w:p>
      <w:r>
        <w:t>证据来源：</w:t>
      </w:r>
      <w:hyperlink r:id="rId13">
        <w:r>
          <w:rPr>
            <w:color w:val="000000"/>
          </w:rPr>
          <w:t>打开原始发布页面</w:t>
        </w:r>
      </w:hyperlink>
    </w:p>
    <w:p>
      <w:pPr>
        <w:pStyle w:val="Heading3"/>
      </w:pPr>
      <w:r>
        <w:t>R07 International Classification of Functioning Disability and Health</w:t>
      </w:r>
    </w:p>
    <w:p>
      <w:r>
        <w:t>发布机构：WHO。版本年份：2001及WHO在线维护页面。文件性质：国际分类框架。适用范围：身体功能结构 活动参与 环境因素。</w:t>
      </w:r>
    </w:p>
    <w:p>
      <w:r>
        <w:t>核验日期：2026年10月31日。核验范围与限制：WHO官方分类页核实；编码使用须逐项查正式浏览器。</w:t>
      </w:r>
    </w:p>
    <w:p>
      <w:r>
        <w:t>与本库相关规则：个人因素作叙述；不从量表总分自动生成ICF限定值。</w:t>
      </w:r>
    </w:p>
    <w:p>
      <w:r>
        <w:t>证据来源：</w:t>
      </w:r>
      <w:hyperlink r:id="rId14">
        <w:r>
          <w:rPr>
            <w:color w:val="000000"/>
          </w:rPr>
          <w:t>打开原始发布页面</w:t>
        </w:r>
      </w:hyperlink>
    </w:p>
    <w:p>
      <w:bookmarkStart w:id="12" w:name="sec12"/>
      <w:pPr>
        <w:pStyle w:val="Heading1"/>
      </w:pPr>
      <w:r>
        <w:t>版本更新与使用维护</w:t>
      </w:r>
      <w:bookmarkEnd w:id="12"/>
    </w:p>
    <w:p>
      <w:r>
        <w:t>版本V1.0，创建日期2026年10月31日。科室负责人会同PT、OT、ST、护理和病案质控审核后用于院内试用；季度复核来源，遇安全事件、重要指南、设备说明书、量表版本或院内制度变更及时更新。每次修订记录旧版、新版、原因、原始来源、受影响模块、审校者和回归测试编号，保留历史版。</w:t>
      </w:r>
    </w:p>
    <w:p>
      <w:r>
        <w:t>本交付是20份Word规则库。路由和状态字段属于运行契约；尚未开发持久化数据库、EMR接口或后台自动调度，不保证跨会话记忆。附录虚构病例与规则级测试不能替代临床验证、量表授权和真实医师审校。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247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r>
      <w:fldChar w:fldCharType="begin"/>
      <w:instrText xml:space="preserve"> PAGE </w:instrText>
      <w:fldChar w:fldCharType="end"/>
    </w:r>
    <w:r>
      <w:t xml:space="preserve"> 页 共 </w:t>
    </w:r>
    <w:r>
      <w:fldChar w:fldCharType="begin"/>
      <w:instrText xml:space="preserve"> NUMPAGES </w:instrTex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000000"/>
        <w:sz w:val="16"/>
      </w:rPr>
      <w:t>康复医学科AI病历书写系统V1.0  08模块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="Songti SC" w:ascii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93" w:lineRule="auto" w:after="100"/>
    </w:pPr>
    <w:rPr>
      <w:rFonts w:ascii="Times New Roman" w:hAnsi="Times New Roman" w:eastAsia="Songti SC" w:cs="Times New Roman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Times New Roman" w:hAnsi="Times New Roman" w:eastAsia="Songti SC" w:cs="Times New Roman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Times New Roman" w:hAnsi="Times New Roman" w:eastAsia="Songti SC" w:cs="Times New Roman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Times New Roman" w:hAnsi="Times New Roman" w:eastAsia="Songti SC" w:cs="Times New Roman"/>
      <w:b/>
      <w:bCs/>
      <w:i w:val="0"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eastAsia="Songti SC" w:ascii="Times New Roman" w:hAnsi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eastAsia="Songti SC" w:ascii="Times New Roman" w:hAnsi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eastAsia="Songti SC" w:ascii="Times New Roman" w:hAnsi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eastAsia="Songti SC" w:ascii="Times New Roman" w:hAnsi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eastAsia="Songti SC" w:ascii="Times New Roman" w:hAnsi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eastAsia="Songti SC" w:ascii="Times New Roman" w:hAnsi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eastAsia="Songti SC" w:ascii="Times New Roman" w:hAnsi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eastAsia="Songti SC" w:ascii="Times New Roman" w:hAnsi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eastAsia="Songti SC" w:ascii="Times New Roman" w:hAnsi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="Times New Roman" w:hAnsi="Times New Roman" w:eastAsia="Songti SC" w:cs="Times New Roman"/>
      <w:b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eastAsia="Songti SC" w:ascii="Times New Roman" w:hAnsi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40" w:after="120"/>
    </w:pPr>
    <w:rPr>
      <w:rFonts w:ascii="Times New Roman" w:hAnsi="Times New Roman" w:eastAsia="Songti SC" w:cs="Times New Roman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="Songti SC" w:ascii="Times New Roman" w:hAnsi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Songti SC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Songti SC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="Songti SC" w:ascii="Times New Roman" w:hAnsi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="Songti SC" w:ascii="Times New Roman" w:hAnsi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="Songti SC" w:ascii="Times New Roman" w:hAnsi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="Songti SC" w:ascii="Times New Roman" w:hAnsi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="Songti SC" w:ascii="Times New Roman" w:hAnsi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="Songti SC" w:ascii="Times New Roman" w:hAnsi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keepLines w:val="0"/>
      <w:spacing w:line="276" w:lineRule="auto" w:after="40"/>
      <w:ind w:left="142" w:right="85"/>
    </w:pPr>
    <w:rPr>
      <w:rFonts w:ascii="Courier New" w:hAnsi="Courier New" w:eastAsia="Songti SC" w:cs="Times New Roman"/>
      <w:b w:val="0"/>
      <w:i w:val="0"/>
      <w:color w:val="00000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nhc.gov.cn/wjw/c100175/201002/b1bec53d90f243e0861529723f00221a.shtml" TargetMode="External"/><Relationship Id="rId12" Type="http://schemas.openxmlformats.org/officeDocument/2006/relationships/hyperlink" Target="https://www.nhc.gov.cn/yzygj/c100068/201804/42ab2552298047679cd6ec733f233862.shtml" TargetMode="External"/><Relationship Id="rId13" Type="http://schemas.openxmlformats.org/officeDocument/2006/relationships/hyperlink" Target="https://www.nhc.gov.cn/wjw/gfxwj/201105/0fa3554447e84949aa129e88bb1cc7b6.shtml" TargetMode="External"/><Relationship Id="rId14" Type="http://schemas.openxmlformats.org/officeDocument/2006/relationships/hyperlink" Target="https://www.who.int/standards/classifications/international-classification-of-functioning-disability-and-healt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 康复医学科三级医师查房决策与多学科团队协作模板库</dc:title>
  <dc:subject>康复医学科AI病历书写系统V1.0</dc:subject>
  <dc:creator>康复医学科规则库建设</dc:creator>
  <cp:keywords>康复医学 ICF PT OT ST 病历规则 V1.0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