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102 脊髓损伤周围神经损伤及神经肌肉疾病康复模板库</w:t>
      </w:r>
    </w:p>
    <w:p>
      <w:pPr>
        <w:pStyle w:val="Subtitle"/>
      </w:pPr>
      <w:r>
        <w:t>V1.0  第三级规则库</w:t>
      </w:r>
    </w:p>
    <w:p>
      <w:r>
        <w:t>创建与核验基准  2026年10月31日</w:t>
      </w:r>
    </w:p>
    <w:p>
      <w:r>
        <w:t>处理脊髓、周围神经和神经肌肉疾病的活动与自主神经管理。正文提供临床资料契约、专业规则、可填充模板、完整虚构病例与质量控制。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专病使用边界与专业深度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专病场景与完整文书链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完整虚构病例与书写演示</w:t>
        </w:r>
      </w:hyperlink>
      <w:r>
        <w:tab/>
        <w:t>22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输出格式与真实性限制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常见错误与最终质控清单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模块协同关系</w:t>
        </w:r>
      </w:hyperlink>
      <w:r>
        <w:tab/>
        <w:t>24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指南与规范核验</w:t>
        </w:r>
      </w:hyperlink>
      <w:r>
        <w:tab/>
        <w:t>24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版本更新与使用维护</w:t>
        </w:r>
      </w:hyperlink>
      <w:r>
        <w:tab/>
        <w:t>26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功能定位：处理脊髓、周围神经和神经肌肉疾病的活动与自主神经管理。本模块面向中国医院康复医师及具备权限的相关专业人员，作为医师审核前的规则与文书草稿库。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专病使用边界与专业深度</w:t>
      </w:r>
      <w:bookmarkEnd w:id="2"/>
    </w:p>
    <w:p>
      <w:r>
        <w:t>先确定原发疾病与康复阶段，再按下列独立场景核对病理机制、实际检查、ICF、目标与限制。每一场景均给出首次、日常、三级查房、中期、调整、异常、出院评定、出院记录及随访模板；必须填入本例真实资料。多个场景可联合，但不重复下达矛盾方案。</w:t>
      </w:r>
    </w:p>
    <w:p>
      <w:r>
        <w:t>评定与治疗要适用于该患者，未经评估的典型表现不是患者事实。专业治疗列为方向，不构成真实执行命令；不适用的PT、OT、ST或设备不加入。</w:t>
      </w:r>
    </w:p>
    <w:p>
      <w:bookmarkStart w:id="3" w:name="sec3"/>
      <w:pPr>
        <w:pStyle w:val="Heading1"/>
      </w:pPr>
      <w:r>
        <w:t>专病场景与完整文书链</w:t>
      </w:r>
      <w:bookmarkEnd w:id="3"/>
    </w:p>
    <w:p>
      <w:pPr>
        <w:pStyle w:val="Heading2"/>
      </w:pPr>
      <w:r>
        <w:t>01 颈髓损伤与四肢瘫</w:t>
      </w:r>
    </w:p>
    <w:p>
      <w:r>
        <w:t>覆盖场景：颈髓损伤、完全或不完全SCI、呼吸肌受累。</w:t>
      </w:r>
    </w:p>
    <w:p>
      <w:pPr>
        <w:pStyle w:val="Heading3"/>
      </w:pPr>
      <w:r>
        <w:t>疾病特点 机制与阶段</w:t>
      </w:r>
    </w:p>
    <w:p>
      <w:r>
        <w:t>神经平面、残存运动感觉、自主神经和呼吸受累共同决定功能；骨性损伤平面不能替代神经分类。</w:t>
      </w:r>
    </w:p>
    <w:p>
      <w:r>
        <w:t>适用阶段和必需病史：核损伤与手术日期、稳定性、颈部保护、气道通气、分侧神经检查和骶段资料。2026分类需正式版本，缺项则不分级。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正式ISNCSCI原表与分类者结论、呼吸咳嗽、上肢残存功能、坐位耐受、皮肤、转移和轮椅操作；无法测记原因。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按实际残存功能形成进食操作、呼叫控制、转移照护和移动目标；完全或不完全分类不直接决定具体生活能力。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PT经许可体位、呼吸和耐受及转移；OT保护残存手功能并评估控制辅具，特定抓握策略须个体指导；ST在人工气道或吞咽问题时参与。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自主神经反射异常、体位性低血压、排痰困难、皮肤损伤和管路风险；不因AIS不变否认生活功能进步。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病例特点：【颈髓损伤与四肢瘫的真实病程与阶段】。</w:t>
      </w:r>
    </w:p>
    <w:p>
      <w:pPr>
        <w:pStyle w:val="Code"/>
      </w:pPr>
      <w:r>
        <w:t>疾病诊断及依据：【原始报告与临床判断】；主要功能障碍：【正式ISNCSCI原表与分类者结论、呼吸咳嗽、上肢残存功能、坐位耐受、皮肤、转移和轮椅操作所对应的实际结果】。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颈髓损伤与四肢瘫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颈髓损伤与四肢瘫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颈髓损伤与四肢瘫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颈髓损伤与四肢瘫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颈髓损伤与四肢瘫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本场景功能与活动：【颈髓损伤与四肢瘫相关的实测任务及助力器具】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诊疗经过：【颈髓损伤与四肢瘫疾病处理、功能基线、实际治疗、异常事件与复评】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长期衔接重点：交接气道、皮肤减压、膀胱肠道、照护和辅具；按家庭可行性制定轮椅或其他移动路径，不能承诺步行恢复。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02 胸腰骶髓损伤与截瘫</w:t>
      </w:r>
    </w:p>
    <w:p>
      <w:r>
        <w:t>覆盖场景：胸髓、腰骶髓、圆锥或马尾相关障碍。</w:t>
      </w:r>
    </w:p>
    <w:p>
      <w:pPr>
        <w:pStyle w:val="Heading3"/>
      </w:pPr>
      <w:r>
        <w:t>疾病特点 机制与阶段</w:t>
      </w:r>
    </w:p>
    <w:p>
      <w:r>
        <w:t>躯干控制、下肢功能和骶段受累影响转移、轮椅或步行及排泄；马尾或周围成分要独立鉴别。</w:t>
      </w:r>
    </w:p>
    <w:p>
      <w:r>
        <w:t>适用阶段和必需病史：核脊柱稳定、融合或固定、神经检查、皮肤和下肢血栓疑点；分类前确认是否符合SCI体系及非SCI因素。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ISNCSCI和AIS仅引用合法完成检查；结合SCIM实际域、坐位、转移、轮椅减压、站立直立和膀胱肠道资料。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优先安全转移、减压、自我照护与可用移动，步行目标依据残存功能和许可，不以影像描述设定。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PT躯干、转移与轮椅或经许可步行；OT如厕穿衣及家居环境；无吞咽交流问题不机械安排ST，必要时呼吸训练。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活动或负重须核骨科团队；感觉缺失增加热损伤和压力风险，不在疑DVT或不稳骨折时强行训练。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病例特点：【胸腰骶髓损伤与截瘫的真实病程与阶段】。</w:t>
      </w:r>
    </w:p>
    <w:p>
      <w:pPr>
        <w:pStyle w:val="Code"/>
      </w:pPr>
      <w:r>
        <w:t>疾病诊断及依据：【原始报告与临床判断】；主要功能障碍：【ISNCSCI和AIS仅引用合法完成检查所对应的实际结果】。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胸腰骶髓损伤与截瘫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胸腰骶髓损伤与截瘫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胸腰骶髓损伤与截瘫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胸腰骶髓损伤与截瘫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胸腰骶髓损伤与截瘫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本场景功能与活动：【胸腰骶髓损伤与截瘫相关的实测任务及助力器具】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诊疗经过：【胸腰骶髓损伤与截瘫疾病处理、功能基线、实际治疗、异常事件与复评】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长期衔接重点：家庭无障碍和减压、排泄、皮肤监测应实演练；长期跟踪泌尿系、皮肤、疼痛及社会参与。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03 神经源性膀胱肠道及自主神经管理</w:t>
      </w:r>
    </w:p>
    <w:p>
      <w:r>
        <w:t>覆盖场景：SCI排尿排便、反射异常、直立低血压、压力性损伤。</w:t>
      </w:r>
    </w:p>
    <w:p>
      <w:pPr>
        <w:pStyle w:val="Heading3"/>
      </w:pPr>
      <w:r>
        <w:t>疾病特点 机制与阶段</w:t>
      </w:r>
    </w:p>
    <w:p>
      <w:r>
        <w:t>储排尿、肠道和自主神经失调可影响康复安全与生活；风险与确诊感染或器官损害分开。</w:t>
      </w:r>
    </w:p>
    <w:p>
      <w:r>
        <w:t>适用阶段和必需病史：采排尿方式、导管实际在位及更换、出入量原记录、漏尿、排便、药物、泌尿检查和基础血压；不能虚构尿动力结果。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残余尿或尿动力仅有实测才记录，肾功能与上尿路资料、皮肤和体位症状；排尿计划由相关专业确认。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目标为安全管理、可行自理与减少照护负担，不仅追求拔管或无漏尿；按真实条件约定指标。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PT安排避开诱发症状的活动；OT训练衣物和如厕器具；护士和泌尿团队按职责执行导尿或肠道方案；不将护理计划写已完成。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突发头痛出汗及血压异常等需走06的SCI急症评估；不能凭尿培养阳性或浑浊尿自动确诊有症状UTI。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病例特点：【神经源性膀胱肠道及自主神经管理的真实病程与阶段】。</w:t>
      </w:r>
    </w:p>
    <w:p>
      <w:pPr>
        <w:pStyle w:val="Code"/>
      </w:pPr>
      <w:r>
        <w:t>疾病诊断及依据：【原始报告与临床判断】；主要功能障碍：【残余尿或尿动力仅有实测才记录，肾功能与上尿路资料、皮肤和体位症状所对应的实际结果】。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神经源性膀胱肠道及自主神经管理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神经源性膀胱肠道及自主神经管理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神经源性膀胱肠道及自主神经管理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神经源性膀胱肠道及自主神经管理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神经源性膀胱肠道及自主神经管理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本场景功能与活动：【神经源性膀胱肠道及自主神经管理相关的实测任务及助力器具】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诊疗经过：【神经源性膀胱肠道及自主神经管理疾病处理、功能基线、实际治疗、异常事件与复评】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长期衔接重点：出院明确导管、用品、皮肤检查、真实培训与泌尿随访责任；不得自动规定导尿频次、容量阈值或药物。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04 周围神经及修复术后</w:t>
      </w:r>
    </w:p>
    <w:p>
      <w:r>
        <w:t>覆盖场景：臂丛、腓总神经及其他神经损伤、神经修复术后。</w:t>
      </w:r>
    </w:p>
    <w:p>
      <w:pPr>
        <w:pStyle w:val="Heading3"/>
      </w:pPr>
      <w:r>
        <w:t>疾病特点 机制与阶段</w:t>
      </w:r>
    </w:p>
    <w:p>
      <w:r>
        <w:t>去神经、再支配、感觉损失与代偿共同影响任务，神经连续或电生理异常不直接给功能预后。</w:t>
      </w:r>
    </w:p>
    <w:p>
      <w:r>
        <w:t>适用阶段和必需病史：核损伤机制、修复结构和日期、缝合或移植记录、保护许可、神经分布实查及电生理时间。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具体肌群、感觉区域、疼痛、关节活动、手功能或足下垂对步态影响；不由神经名称补全部支配肌等级。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连接残存和恢复功能到抓握、穿衣、行走和返岗；预后保留病程与证据限制。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PT保护关节和分肌群训练；OT感觉保护、精细任务和代偿；矫形器按实际适配，电刺激适用性由专业人员核设备和失神经状态；ST无指征不加入。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合并肌腱血管皮瓣修复时以各结构最严格的现行许可协调；不得为神经滑动突破修复保护。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病例特点：【周围神经及修复术后的真实病程与阶段】。</w:t>
      </w:r>
    </w:p>
    <w:p>
      <w:pPr>
        <w:pStyle w:val="Code"/>
      </w:pPr>
      <w:r>
        <w:t>疾病诊断及依据：【原始报告与临床判断】；主要功能障碍：【具体肌群、感觉区域、疼痛、关节活动、手功能或足下垂对步态影响所对应的实际结果】。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周围神经及修复术后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周围神经及修复术后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周围神经及修复术后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周围神经及修复术后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周围神经及修复术后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本场景功能与活动：【周围神经及修复术后相关的实测任务及助力器具】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诊疗经过：【周围神经及修复术后疾病处理、功能基线、实际治疗、异常事件与复评】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长期衔接重点：交接感觉缺失皮肤保护、辅具、职业任务与后续电生理或专科复查；不以一次MMT变化承诺神经完全恢复。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05 格林巴利及其他神经肌肉疾病</w:t>
      </w:r>
    </w:p>
    <w:p>
      <w:r>
        <w:t>覆盖场景：GBS恢复期、其他周围神经肌肉病、呼吸肌训练。</w:t>
      </w:r>
    </w:p>
    <w:p>
      <w:pPr>
        <w:pStyle w:val="Heading3"/>
      </w:pPr>
      <w:r>
        <w:t>疾病特点 机制与阶段</w:t>
      </w:r>
    </w:p>
    <w:p>
      <w:r>
        <w:t>无力、感觉、自主神经和疲劳程度不一，进行性疾病与恢复性疾病的训练目标不同。</w:t>
      </w:r>
    </w:p>
    <w:p>
      <w:r>
        <w:t>适用阶段和必需病史：核原病诊断证据、病情趋势、呼吸吞咽、疲劳、治疗药物和自主神经症状；新发恶化先临床评估。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分肌群力量、有效咳嗽呼吸、耐力、功能任务与疲劳恢复；不能仅据无力诊断ICU获得性衰弱或GBS。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以减少过度疲劳、维持活动及生活独立性为目标，进展性病可重在代偿与参与。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PT采用个体低负荷及间歇策略由医师确定；OT能量分配、ADL和辅具；有延髓或交流问题加ST；呼吸训练结合气道评估。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警惕呼吸无力、自主神经波动、运动后持续恶化及跌倒，不统一开高强度抗阻或按诊断计算负荷。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病例特点：【格林巴利及其他神经肌肉疾病的真实病程与阶段】。</w:t>
      </w:r>
    </w:p>
    <w:p>
      <w:pPr>
        <w:pStyle w:val="Code"/>
      </w:pPr>
      <w:r>
        <w:t>疾病诊断及依据：【原始报告与临床判断】；主要功能障碍：【分肌群力量、有效咳嗽呼吸、耐力、功能任务与疲劳恢复所对应的实际结果】。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格林巴利及其他神经肌肉疾病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格林巴利及其他神经肌肉疾病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格林巴利及其他神经肌肉疾病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格林巴利及其他神经肌肉疾病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格林巴利及其他神经肌肉疾病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本场景功能与活动：【格林巴利及其他神经肌肉疾病相关的实测任务及助力器具】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诊疗经过：【格林巴利及其他神经肌肉疾病疾病处理、功能基线、实际治疗、异常事件与复评】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长期衔接重点：家庭监测疲劳、呼吸吞咽和实际任务，明确专业随访；疾病进展时重设目标而非机械加量。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bookmarkStart w:id="4" w:name="sec4"/>
      <w:pPr>
        <w:pStyle w:val="Heading1"/>
      </w:pPr>
      <w:r>
        <w:t>完整虚构病例与书写演示</w:t>
      </w:r>
      <w:bookmarkEnd w:id="4"/>
    </w:p>
    <w:p>
      <w:r>
        <w:t>本节资料全部虚构，仅用于教学和规则测试，禁止并入真实患者记录。</w:t>
      </w:r>
    </w:p>
    <w:p>
      <w:r>
        <w:t>虚构患者SIM102，住院SIM102-E01，男，35岁。原发疾病为外伤性胸髓损伤术后，仅在本模拟场景有效。</w:t>
      </w:r>
    </w:p>
    <w:p>
      <w:r>
        <w:t>病史与实查：9月25日受伤，9月26日脊柱手术，10月20日康复入院。10月30日可坐轮椅但需保护转移，双下肢无力；仅有摘要，缺正式骶段及双侧感觉运动原表，不能给AIS。</w:t>
      </w:r>
    </w:p>
    <w:p>
      <w:r>
        <w:t>处方与许可及目标：近期目标为掌握经许可的转移和减压，长期提高轮椅活动及自理；活动按脊柱团队限制，膀胱方案需泌尿专科确认。</w:t>
      </w:r>
    </w:p>
    <w:p>
      <w:r>
        <w:t>实际执行与反应：PT于10月30日10:00至10:20进行移位板转移3次，有效12分钟，需两人帮助；压力性损伤检查记录骶部皮肤完整，其余部位不能一概正常。</w:t>
      </w:r>
    </w:p>
    <w:p>
      <w:r>
        <w:t>ICF与出院：下肢和躯干功能关联轮椅转移如厕，家有台阶待测，配偶拟照护但未完成培训。出院仍为拟定，需复核当时医学稳定性、实际功能、照护和环境。随访以实际临床确认的日期或条件为准，本例尚未预约。</w:t>
      </w:r>
    </w:p>
    <w:p>
      <w:r>
        <w:t>疾病、功能和治疗三条证据线分别核对；未测评分不填，未执行治疗不补，未明确许可不升级。</w:t>
      </w:r>
    </w:p>
    <w:p>
      <w:r>
        <w:t>2026年10月31日 09:00 康复日常病程记录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外伤性胸髓损伤术后，当前实际功能及治疗以10月30日评定和执行来源为依据。PT于10月30日10:00至10:20进行移位板转移3次，有效12分钟，需两人帮助；压力性损伤检查记录骶部皮肤完整，其余部位不能一概正常。近期目标为掌握经许可的转移和减压，长期提高轮椅活动及自理；活动按脊柱团队限制，膀胱方案需泌尿专科确认。后续需完成相关功能复评、照护与环境核对；当前无新量表，不填写评分提高或目标已达成。</w:t>
      </w:r>
    </w:p>
    <w:p>
      <w:pPr>
        <w:pStyle w:val="Code"/>
      </w:pPr>
      <w:r>
        <w:t>```</w:t>
      </w:r>
    </w:p>
    <w:p>
      <w:bookmarkStart w:id="5" w:name="sec5"/>
      <w:pPr>
        <w:pStyle w:val="Heading1"/>
      </w:pPr>
      <w:r>
        <w:t>输出格式与真实性限制</w:t>
      </w:r>
      <w:bookmarkEnd w:id="5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6" w:name="sec6"/>
      <w:pPr>
        <w:pStyle w:val="Heading1"/>
      </w:pPr>
      <w:r>
        <w:t>常见错误与最终质控清单</w:t>
      </w:r>
      <w:bookmarkEnd w:id="6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7" w:name="sec7"/>
      <w:pPr>
        <w:pStyle w:val="Heading1"/>
      </w:pPr>
      <w:r>
        <w:t>模块协同关系</w:t>
      </w:r>
      <w:bookmarkEnd w:id="7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8" w:name="sec8"/>
      <w:pPr>
        <w:pStyle w:val="Heading1"/>
      </w:pPr>
      <w:r>
        <w:t>指南与规范核验</w:t>
      </w:r>
      <w:bookmarkEnd w:id="8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R10 International Standards for Neurological Classification of Spinal Cord Injury</w:t>
      </w:r>
    </w:p>
    <w:p>
      <w:r>
        <w:t>发布机构：ASIA ISCoS相关专家。版本年份：9th edition 2026 DOI 10.46292/sci26-00067。文件性质：正式分类标准。适用范围：脊髓损伤神经学分类。</w:t>
      </w:r>
    </w:p>
    <w:p>
      <w:r>
        <w:t>核验日期：2026年10月31日。核验范围与限制：ASIA官网确认2026版及许可；DOI全文请求403，未核全部新版变化；中文2026授权版未取得。</w:t>
      </w:r>
    </w:p>
    <w:p>
      <w:r>
        <w:t>与本库相关规则：不内置旧版分类算法冒充2026；正式分类保留版本和原始检查。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R11 脊髓损伤患者泌尿系管理与临床康复指南</w:t>
      </w:r>
    </w:p>
    <w:p>
      <w:r>
        <w:t>发布机构：中国残疾人康复协会相关专委会 国际脊髓学会中国学会 中华医学会相关学组。版本年份：2013 中国康复理论与实践19卷4期301至307页。文件性质：临床指南。适用范围：SCI泌尿系管理。</w:t>
      </w:r>
    </w:p>
    <w:p>
      <w:r>
        <w:t>核验日期：2026年10月31日。核验范围与限制：期刊题录核实；历史指南不称最新版，具体方案需核现行泌尿专科依据。</w:t>
      </w:r>
    </w:p>
    <w:p>
      <w:r>
        <w:t>与本库相关规则：排尿方式、泌尿系统风险及实际操作分开管理。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R21 WHO standards for prosthetics and orthotics</w:t>
      </w:r>
    </w:p>
    <w:p>
      <w:r>
        <w:t>发布机构：WHO与ISPO协作。版本年份：2017。文件性质：国际服务标准。适用范围：假肢矫形器服务。</w:t>
      </w:r>
    </w:p>
    <w:p>
      <w:r>
        <w:t>核验日期：2026年10月31日。核验范围与限制：WHO官方出版页核实。</w:t>
      </w:r>
    </w:p>
    <w:p>
      <w:r>
        <w:t>与本库相关规则：适配、训练、皮肤检查和随访构成连续服务，装配不等于掌握。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bookmarkStart w:id="9" w:name="sec9"/>
      <w:pPr>
        <w:pStyle w:val="Heading1"/>
      </w:pPr>
      <w:r>
        <w:t>版本更新与使用维护</w:t>
      </w:r>
      <w:bookmarkEnd w:id="9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102模块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wjw/gfxwj/201105/0fa3554447e84949aa129e88bb1cc7b6.shtml" TargetMode="External"/><Relationship Id="rId13" Type="http://schemas.openxmlformats.org/officeDocument/2006/relationships/hyperlink" Target="https://www.who.int/standards/classifications/international-classification-of-functioning-disability-and-health" TargetMode="External"/><Relationship Id="rId14" Type="http://schemas.openxmlformats.org/officeDocument/2006/relationships/hyperlink" Target="https://asia-spinalinjury.org/international-standards-neurological-classification-sci-isncsci-worksheet/" TargetMode="External"/><Relationship Id="rId15" Type="http://schemas.openxmlformats.org/officeDocument/2006/relationships/hyperlink" Target="https://www.cjrtponline.com/CN/abstract/abstract5505.shtml" TargetMode="External"/><Relationship Id="rId16" Type="http://schemas.openxmlformats.org/officeDocument/2006/relationships/hyperlink" Target="https://www.who.int/publications/i/item/97892415124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 脊髓损伤周围神经损伤及神经肌肉疾病康复模板库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